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B88" w:rsidRDefault="00034B88" w:rsidP="00034B88">
      <w:pPr>
        <w:pStyle w:val="2"/>
        <w:rPr>
          <w:sz w:val="20"/>
          <w:szCs w:val="20"/>
        </w:rPr>
      </w:pPr>
      <w:bookmarkStart w:id="0" w:name="_GoBack"/>
      <w:r>
        <w:rPr>
          <w:sz w:val="20"/>
          <w:szCs w:val="20"/>
        </w:rPr>
        <w:t>Статья 105.3. Общие положения о налогообложении в сделках между взаимозависимыми лицами</w:t>
      </w:r>
    </w:p>
    <w:bookmarkEnd w:id="0"/>
    <w:p w:rsidR="00034B88" w:rsidRDefault="00034B88" w:rsidP="00034B88">
      <w:pPr>
        <w:rPr>
          <w:sz w:val="24"/>
          <w:szCs w:val="24"/>
        </w:rPr>
      </w:pPr>
      <w:r>
        <w:fldChar w:fldCharType="begin"/>
      </w:r>
      <w:r>
        <w:instrText xml:space="preserve"> HYPERLINK "http://www.zakonrf.info/nk/" \o "Налоговый кодекс РФ" </w:instrText>
      </w:r>
      <w:r>
        <w:fldChar w:fldCharType="separate"/>
      </w:r>
      <w:r>
        <w:rPr>
          <w:rStyle w:val="a3"/>
          <w:b/>
          <w:bCs/>
          <w:color w:val="707070"/>
          <w:sz w:val="20"/>
          <w:szCs w:val="20"/>
          <w:u w:val="none"/>
        </w:rPr>
        <w:t>[Налоговый кодекс РФ]</w:t>
      </w:r>
      <w:r>
        <w:fldChar w:fldCharType="end"/>
      </w:r>
      <w:r>
        <w:rPr>
          <w:rStyle w:val="apple-converted-space"/>
        </w:rPr>
        <w:t> </w:t>
      </w:r>
      <w:hyperlink r:id="rId4" w:tooltip="Общие положения о ценах и налогообложении.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 w:history="1">
        <w:r>
          <w:rPr>
            <w:rStyle w:val="a3"/>
            <w:b/>
            <w:bCs/>
            <w:color w:val="707070"/>
            <w:sz w:val="20"/>
            <w:szCs w:val="20"/>
            <w:u w:val="none"/>
          </w:rPr>
          <w:t>[Глава 14.2]</w:t>
        </w:r>
      </w:hyperlink>
      <w:r>
        <w:rPr>
          <w:rStyle w:val="apple-converted-space"/>
        </w:rPr>
        <w:t> </w:t>
      </w:r>
      <w:hyperlink r:id="rId5" w:tooltip="Общие положения о налогообложении в сделках между взаимозависимыми лицами" w:history="1">
        <w:r>
          <w:rPr>
            <w:rStyle w:val="a3"/>
            <w:b/>
            <w:bCs/>
            <w:color w:val="707070"/>
            <w:sz w:val="20"/>
            <w:szCs w:val="20"/>
            <w:u w:val="none"/>
          </w:rPr>
          <w:t>[Статья 105.3]</w:t>
        </w:r>
      </w:hyperlink>
    </w:p>
    <w:p w:rsidR="00034B88" w:rsidRDefault="00034B88" w:rsidP="00034B88">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В случае, если в сделках между взаимозависимыми лицами создаются или устанавливаются коммерческие или финансовые условия, отличные от тех, которые имели бы место в сделках, признаваемых в соответствии с настоящим разделом сопоставимыми, между лицами, не являющимися взаимозависимыми, то любые доходы (прибыль, выручка), которые могли бы быть получены одним из этих лиц, но вследствие указанного отличия не были им получены, учитываются для целей налогообложения у этого лица.</w:t>
      </w:r>
    </w:p>
    <w:p w:rsidR="00034B88" w:rsidRDefault="00034B88" w:rsidP="00034B88">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Учет для целей налогообложения доходов (прибыли, выручки) в соответствии с настоящим пунктом производится в случае, если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главой 25 настоящего Кодекса. Положения настоящего абзаца не применяются в случаях, если налогоплательщик применяет симметричную корректировку в соответствии с разделом V.1 настоящего Кодекса.</w:t>
      </w:r>
    </w:p>
    <w:p w:rsidR="00034B88" w:rsidRDefault="00034B88" w:rsidP="00034B88">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Для целей настоящего Кодекса цены, применяемые в сделках, сторонами которых являются лица, не признаваемые взаимозависимыми, а также доходы (прибыль, выручка), получаемые лицами, являющимися сторонами таких сделок, признаются рыночными.</w:t>
      </w:r>
    </w:p>
    <w:p w:rsidR="00034B88" w:rsidRDefault="00034B88" w:rsidP="00034B88">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Определение в целях налогообложения доходов (прибыли, выручки) взаимозависимых лиц, являющихся сторонами сделки, которые могли бы быть получены этими лицами, но не были получены вследствие отличия коммерческих и (или) финансовых условий указанной сделки от коммерческих и (или) финансовых условий такой же сделки, сторонами которой являются лица, не признаваемые взаимозависимыми, производится федеральным органом исполнительной власти, уполномоченным по контролю и надзору в области налогов и сборов, с применением методов, установленных главой 14.3 настоящего Кодекса.</w:t>
      </w:r>
    </w:p>
    <w:p w:rsidR="00034B88" w:rsidRDefault="00034B88" w:rsidP="00034B88">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При определении налоговой базы с учетом цены товара (работы, услуги), примененной сторонами сделки для целей налогообложения (далее в настоящем разделе - цена, примененная в сделке), указанная цена признается рыночной, если федеральным органом исполнительной власти, уполномоченным по контролю и надзору в области налогов и сборов, не доказано обратное либо если налогоплательщик не произвел самостоятельно корректировку сумм налога (убытка) в соответствии с пунктом 6 настоящей статьи.</w:t>
      </w:r>
    </w:p>
    <w:p w:rsidR="00034B88" w:rsidRDefault="00034B88" w:rsidP="00034B88">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Налогоплательщик вправе самостоятельно применить для целей налогообложения цену, отличающуюся от цены, примененной в указанной сделке, в случае, если цена, фактически примененная в указанной сделке, не соответствует рыночной цене.</w:t>
      </w:r>
    </w:p>
    <w:p w:rsidR="00034B88" w:rsidRDefault="00034B88" w:rsidP="00034B88">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главой 14.5 настоящего Кодекса, проверяется полнота исчисления и уплаты следующих налогов:</w:t>
      </w:r>
    </w:p>
    <w:p w:rsidR="00034B88" w:rsidRDefault="00034B88" w:rsidP="00034B88">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налога на прибыль организаций;</w:t>
      </w:r>
    </w:p>
    <w:p w:rsidR="00034B88" w:rsidRDefault="00034B88" w:rsidP="00034B88">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налога на доходы физических лиц, уплачиваемого в соответствии со статьей 227 настоящего Кодекса;</w:t>
      </w:r>
    </w:p>
    <w:p w:rsidR="00034B88" w:rsidRDefault="00034B88" w:rsidP="00034B88">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налога на добычу полезных ископаемых (в случае, если одна из сторон сделки является налогоплательщиком указанного налога и предметом сделки является добытое полезное ископаемое, признаваемое для налогоплательщика объектом налогообложения налогом на добычу полезных ископаемых, при добыче которых налогообложение производится по налоговой ставке, установленной в процентах);</w:t>
      </w:r>
    </w:p>
    <w:p w:rsidR="00034B88" w:rsidRDefault="00034B88" w:rsidP="00034B88">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 налога на добавленную стоимость (в случае, если одной из сторон сделки является организация (индивидуальный предприниматель), не являющаяся (не являющийся) налогоплательщиком налога на добавленную стоимость или освобожденная (освобожденный) от исполнения обязанностей налогоплательщика по налогу на добавленную стоимость).</w:t>
      </w:r>
    </w:p>
    <w:p w:rsidR="00034B88" w:rsidRDefault="00034B88" w:rsidP="00034B88">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5. В случае выявления занижения сумм указанных в пункте 4 настоящей статьи налогов или завышения суммы убытка, определяемого в соответствии с главой 25 настоящего Кодекса, федеральным органом исполнительной власти, уполномоченным по контролю и надзору в области налогов и сборов, производятся корректировки соответствующих налоговых баз.</w:t>
      </w:r>
    </w:p>
    <w:p w:rsidR="00034B88" w:rsidRDefault="00034B88" w:rsidP="00034B88">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пункте 4 настоящей статьи, или завышение суммы убытка, определяемого в соответствии с главой 25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истечении календарного года, включающего налоговый период (налоговые периоды) по налогам, суммы которых подлежат корректировке. Сведения, позволяющие идентифицировать сделку, в отношении которой налогоплательщик самостоятельно произвел корректировку налоговой базы и суммы налога, указываются в пояснениях, прилагаемых к указанной в настоящем пункте уточненной налоговой декларации.</w:t>
      </w:r>
    </w:p>
    <w:p w:rsidR="00034B88" w:rsidRDefault="00034B88" w:rsidP="00034B88">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 этом указанные в настоящем пункте корректировки могут производиться:</w:t>
      </w:r>
    </w:p>
    <w:p w:rsidR="00034B88" w:rsidRDefault="00034B88" w:rsidP="00034B88">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организациями одновременно с представлением налоговой декларации по налогу на прибыль организаций за соответствующий налоговый период либо, если организация не является налогоплательщиком налога на прибыль организаций, - в сроки, установленные для представления налоговой декларации по налогу на прибыль организаций;</w:t>
      </w:r>
    </w:p>
    <w:p w:rsidR="00034B88" w:rsidRDefault="00034B88" w:rsidP="00034B88">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физическими лицами одновременно с представлением налоговой декларации по налогу на доходы физических лиц.</w:t>
      </w:r>
    </w:p>
    <w:p w:rsidR="00034B88" w:rsidRDefault="00034B88" w:rsidP="00034B88">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Корректировки по налогу на добавленную стоимость и налогу на добычу полезных ископаемых в случаях, предусмотренных пунктом 4 настоящей статьи, отражаются в уточненных налоговых декларациях по каждому налоговому периоду, в котором произошло отклонение цен, представляемых одновременно с налоговой декларацией по налогу на прибыль организаций (налогу на доходы физических лиц).</w:t>
      </w:r>
    </w:p>
    <w:p w:rsidR="00034B88" w:rsidRDefault="00034B88" w:rsidP="00034B88">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Сумма недоимки, выявленной налогоплательщиком самостоятельно по результатам произведенной в соответствии с настоящим пунктом корректировки, должна быть погашена в срок не позднее даты уплаты налога на прибыль организаций (налога на доходы физических лиц) за соответствующий налоговый период. При этом за период с даты возникновения недоимки до даты истечения установленного срока ее погашения пени на сумму недоимки не начисляются.</w:t>
      </w:r>
    </w:p>
    <w:p w:rsidR="00034B88" w:rsidRDefault="00034B88" w:rsidP="00034B88">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7. Для целей исчисления налогов (авансовых платежей) по итогам налоговых периодов (отчетных периодов), заканчивающихся в течение календарного года, налогоплательщик вправе использовать цены в сделках, сторонами которых являются взаимозависимые лица, фактически примененные в таких сделках.</w:t>
      </w:r>
    </w:p>
    <w:p w:rsidR="00034B88" w:rsidRDefault="00034B88" w:rsidP="00034B88">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8. В случае, если цены применяются в сделках в соответствии с предписаниями антимонопольного органа, эти цены для целей налогообложения признаются рыночными ценами с учетом особенностей, предусмотренных статьей 105.4 настоящего Кодекса для сделок, в которых применяются регулируемые цены.</w:t>
      </w:r>
    </w:p>
    <w:p w:rsidR="00034B88" w:rsidRDefault="00034B88" w:rsidP="00034B88">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9. В случае, если сделка была заключена по результатам биржевых торгов, проведенных в соответствии с законодательством Российской Федерации или законодательством иностранного государства, такая цена признается рыночной для целей налогообложения.</w:t>
      </w:r>
    </w:p>
    <w:p w:rsidR="00034B88" w:rsidRDefault="00034B88" w:rsidP="00034B88">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10. В случае, если в соответствии с законодательством Российской Федерации при совершении сделки проведение оценки является обязательным, стоимость объекта оценки, определенная оценщиком в соответствии с законодательством Российской Федерации об оценочной деятельности, является основанием для определения рыночной цены для целей налогообложения.</w:t>
      </w:r>
    </w:p>
    <w:p w:rsidR="00034B88" w:rsidRDefault="00034B88" w:rsidP="00034B88">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11. В случае, если цена, примененная в сделке, определена в соответствии с соглашением о ценообразовании, заключенным в соответствии с главой 14.6 настоящего Кодекса, указанная цена признается рыночной для целей налогообложения.</w:t>
      </w:r>
    </w:p>
    <w:p w:rsidR="00034B88" w:rsidRDefault="00034B88" w:rsidP="00034B88">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12. В случае, если главами части второй настоящего Кодекса, регулирующими вопросы исчисления и уплаты отдельных налогов, определены иные правила определения цены товара (работы, услуги) для целей налогообложения, то применяются правила части второй настоящего Кодекса.</w:t>
      </w:r>
    </w:p>
    <w:p w:rsidR="00034B88" w:rsidRDefault="00034B88" w:rsidP="00034B88">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13. Правила, предусмотренные настоящим разделом, распространяются на сделки, осуществление которых влечет необходимость учета хотя бы одной стороной таких сделок доходов, расходов и (или) стоимости добытых полезных ископаемых, что приводит к увеличению и (или) уменьшению налоговой базы по налогам, предусмотренным пунктом 4 настоящей статьи.</w:t>
      </w:r>
    </w:p>
    <w:p w:rsidR="005A0182" w:rsidRPr="00034B88" w:rsidRDefault="005A0182" w:rsidP="00034B88"/>
    <w:sectPr w:rsidR="005A0182" w:rsidRPr="00034B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7B"/>
    <w:rsid w:val="00034B88"/>
    <w:rsid w:val="000F2F0D"/>
    <w:rsid w:val="00155CDF"/>
    <w:rsid w:val="00272D2B"/>
    <w:rsid w:val="00275817"/>
    <w:rsid w:val="002810E1"/>
    <w:rsid w:val="002D01B7"/>
    <w:rsid w:val="0034681A"/>
    <w:rsid w:val="003B009E"/>
    <w:rsid w:val="00432BD3"/>
    <w:rsid w:val="00481590"/>
    <w:rsid w:val="005406DC"/>
    <w:rsid w:val="005A0182"/>
    <w:rsid w:val="006E4581"/>
    <w:rsid w:val="00765C3B"/>
    <w:rsid w:val="009757E6"/>
    <w:rsid w:val="009F6C9F"/>
    <w:rsid w:val="00A02B37"/>
    <w:rsid w:val="00AA458B"/>
    <w:rsid w:val="00AD0A3E"/>
    <w:rsid w:val="00B51F7B"/>
    <w:rsid w:val="00BA295D"/>
    <w:rsid w:val="00BB1157"/>
    <w:rsid w:val="00C66ED5"/>
    <w:rsid w:val="00D1496D"/>
    <w:rsid w:val="00D452FF"/>
    <w:rsid w:val="00D45358"/>
    <w:rsid w:val="00D93565"/>
    <w:rsid w:val="00ED6E68"/>
    <w:rsid w:val="00EE5A0E"/>
    <w:rsid w:val="00F47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02688-4272-4ACA-89B5-B92174E3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D01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01B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D01B7"/>
    <w:rPr>
      <w:color w:val="0000FF"/>
      <w:u w:val="single"/>
    </w:rPr>
  </w:style>
  <w:style w:type="character" w:customStyle="1" w:styleId="apple-converted-space">
    <w:name w:val="apple-converted-space"/>
    <w:basedOn w:val="a0"/>
    <w:rsid w:val="002D01B7"/>
  </w:style>
  <w:style w:type="paragraph" w:styleId="a4">
    <w:name w:val="Normal (Web)"/>
    <w:basedOn w:val="a"/>
    <w:uiPriority w:val="99"/>
    <w:semiHidden/>
    <w:unhideWhenUsed/>
    <w:rsid w:val="002D01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AA4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A458B"/>
    <w:rPr>
      <w:rFonts w:ascii="Courier New" w:eastAsia="Times New Roman" w:hAnsi="Courier New" w:cs="Courier New"/>
      <w:sz w:val="20"/>
      <w:szCs w:val="20"/>
      <w:lang w:eastAsia="ru-RU"/>
    </w:rPr>
  </w:style>
  <w:style w:type="character" w:styleId="a5">
    <w:name w:val="Strong"/>
    <w:basedOn w:val="a0"/>
    <w:uiPriority w:val="22"/>
    <w:qFormat/>
    <w:rsid w:val="00BA2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4102">
      <w:bodyDiv w:val="1"/>
      <w:marLeft w:val="0"/>
      <w:marRight w:val="0"/>
      <w:marTop w:val="0"/>
      <w:marBottom w:val="0"/>
      <w:divBdr>
        <w:top w:val="none" w:sz="0" w:space="0" w:color="auto"/>
        <w:left w:val="none" w:sz="0" w:space="0" w:color="auto"/>
        <w:bottom w:val="none" w:sz="0" w:space="0" w:color="auto"/>
        <w:right w:val="none" w:sz="0" w:space="0" w:color="auto"/>
      </w:divBdr>
      <w:divsChild>
        <w:div w:id="1001280564">
          <w:marLeft w:val="0"/>
          <w:marRight w:val="0"/>
          <w:marTop w:val="0"/>
          <w:marBottom w:val="0"/>
          <w:divBdr>
            <w:top w:val="none" w:sz="0" w:space="0" w:color="auto"/>
            <w:left w:val="none" w:sz="0" w:space="0" w:color="auto"/>
            <w:bottom w:val="none" w:sz="0" w:space="0" w:color="auto"/>
            <w:right w:val="none" w:sz="0" w:space="0" w:color="auto"/>
          </w:divBdr>
        </w:div>
        <w:div w:id="1883134919">
          <w:marLeft w:val="0"/>
          <w:marRight w:val="0"/>
          <w:marTop w:val="0"/>
          <w:marBottom w:val="0"/>
          <w:divBdr>
            <w:top w:val="none" w:sz="0" w:space="0" w:color="auto"/>
            <w:left w:val="none" w:sz="0" w:space="0" w:color="auto"/>
            <w:bottom w:val="none" w:sz="0" w:space="0" w:color="auto"/>
            <w:right w:val="none" w:sz="0" w:space="0" w:color="auto"/>
          </w:divBdr>
        </w:div>
      </w:divsChild>
    </w:div>
    <w:div w:id="196165449">
      <w:bodyDiv w:val="1"/>
      <w:marLeft w:val="0"/>
      <w:marRight w:val="0"/>
      <w:marTop w:val="0"/>
      <w:marBottom w:val="0"/>
      <w:divBdr>
        <w:top w:val="none" w:sz="0" w:space="0" w:color="auto"/>
        <w:left w:val="none" w:sz="0" w:space="0" w:color="auto"/>
        <w:bottom w:val="none" w:sz="0" w:space="0" w:color="auto"/>
        <w:right w:val="none" w:sz="0" w:space="0" w:color="auto"/>
      </w:divBdr>
      <w:divsChild>
        <w:div w:id="1449591265">
          <w:marLeft w:val="0"/>
          <w:marRight w:val="0"/>
          <w:marTop w:val="0"/>
          <w:marBottom w:val="0"/>
          <w:divBdr>
            <w:top w:val="none" w:sz="0" w:space="0" w:color="auto"/>
            <w:left w:val="none" w:sz="0" w:space="0" w:color="auto"/>
            <w:bottom w:val="none" w:sz="0" w:space="0" w:color="auto"/>
            <w:right w:val="none" w:sz="0" w:space="0" w:color="auto"/>
          </w:divBdr>
        </w:div>
        <w:div w:id="303705058">
          <w:marLeft w:val="0"/>
          <w:marRight w:val="0"/>
          <w:marTop w:val="0"/>
          <w:marBottom w:val="0"/>
          <w:divBdr>
            <w:top w:val="none" w:sz="0" w:space="0" w:color="auto"/>
            <w:left w:val="none" w:sz="0" w:space="0" w:color="auto"/>
            <w:bottom w:val="none" w:sz="0" w:space="0" w:color="auto"/>
            <w:right w:val="none" w:sz="0" w:space="0" w:color="auto"/>
          </w:divBdr>
        </w:div>
      </w:divsChild>
    </w:div>
    <w:div w:id="229772162">
      <w:bodyDiv w:val="1"/>
      <w:marLeft w:val="0"/>
      <w:marRight w:val="0"/>
      <w:marTop w:val="0"/>
      <w:marBottom w:val="0"/>
      <w:divBdr>
        <w:top w:val="none" w:sz="0" w:space="0" w:color="auto"/>
        <w:left w:val="none" w:sz="0" w:space="0" w:color="auto"/>
        <w:bottom w:val="none" w:sz="0" w:space="0" w:color="auto"/>
        <w:right w:val="none" w:sz="0" w:space="0" w:color="auto"/>
      </w:divBdr>
      <w:divsChild>
        <w:div w:id="1046904233">
          <w:marLeft w:val="0"/>
          <w:marRight w:val="0"/>
          <w:marTop w:val="0"/>
          <w:marBottom w:val="0"/>
          <w:divBdr>
            <w:top w:val="none" w:sz="0" w:space="0" w:color="auto"/>
            <w:left w:val="none" w:sz="0" w:space="0" w:color="auto"/>
            <w:bottom w:val="none" w:sz="0" w:space="0" w:color="auto"/>
            <w:right w:val="none" w:sz="0" w:space="0" w:color="auto"/>
          </w:divBdr>
        </w:div>
        <w:div w:id="1835148197">
          <w:marLeft w:val="0"/>
          <w:marRight w:val="0"/>
          <w:marTop w:val="0"/>
          <w:marBottom w:val="0"/>
          <w:divBdr>
            <w:top w:val="none" w:sz="0" w:space="0" w:color="auto"/>
            <w:left w:val="none" w:sz="0" w:space="0" w:color="auto"/>
            <w:bottom w:val="none" w:sz="0" w:space="0" w:color="auto"/>
            <w:right w:val="none" w:sz="0" w:space="0" w:color="auto"/>
          </w:divBdr>
        </w:div>
      </w:divsChild>
    </w:div>
    <w:div w:id="274021339">
      <w:bodyDiv w:val="1"/>
      <w:marLeft w:val="0"/>
      <w:marRight w:val="0"/>
      <w:marTop w:val="0"/>
      <w:marBottom w:val="0"/>
      <w:divBdr>
        <w:top w:val="none" w:sz="0" w:space="0" w:color="auto"/>
        <w:left w:val="none" w:sz="0" w:space="0" w:color="auto"/>
        <w:bottom w:val="none" w:sz="0" w:space="0" w:color="auto"/>
        <w:right w:val="none" w:sz="0" w:space="0" w:color="auto"/>
      </w:divBdr>
    </w:div>
    <w:div w:id="334764919">
      <w:bodyDiv w:val="1"/>
      <w:marLeft w:val="0"/>
      <w:marRight w:val="0"/>
      <w:marTop w:val="0"/>
      <w:marBottom w:val="0"/>
      <w:divBdr>
        <w:top w:val="none" w:sz="0" w:space="0" w:color="auto"/>
        <w:left w:val="none" w:sz="0" w:space="0" w:color="auto"/>
        <w:bottom w:val="none" w:sz="0" w:space="0" w:color="auto"/>
        <w:right w:val="none" w:sz="0" w:space="0" w:color="auto"/>
      </w:divBdr>
      <w:divsChild>
        <w:div w:id="1986085435">
          <w:marLeft w:val="0"/>
          <w:marRight w:val="0"/>
          <w:marTop w:val="0"/>
          <w:marBottom w:val="0"/>
          <w:divBdr>
            <w:top w:val="none" w:sz="0" w:space="0" w:color="auto"/>
            <w:left w:val="none" w:sz="0" w:space="0" w:color="auto"/>
            <w:bottom w:val="none" w:sz="0" w:space="0" w:color="auto"/>
            <w:right w:val="none" w:sz="0" w:space="0" w:color="auto"/>
          </w:divBdr>
        </w:div>
        <w:div w:id="1766802521">
          <w:marLeft w:val="0"/>
          <w:marRight w:val="0"/>
          <w:marTop w:val="0"/>
          <w:marBottom w:val="0"/>
          <w:divBdr>
            <w:top w:val="none" w:sz="0" w:space="0" w:color="auto"/>
            <w:left w:val="none" w:sz="0" w:space="0" w:color="auto"/>
            <w:bottom w:val="none" w:sz="0" w:space="0" w:color="auto"/>
            <w:right w:val="none" w:sz="0" w:space="0" w:color="auto"/>
          </w:divBdr>
        </w:div>
      </w:divsChild>
    </w:div>
    <w:div w:id="350572572">
      <w:bodyDiv w:val="1"/>
      <w:marLeft w:val="0"/>
      <w:marRight w:val="0"/>
      <w:marTop w:val="0"/>
      <w:marBottom w:val="0"/>
      <w:divBdr>
        <w:top w:val="none" w:sz="0" w:space="0" w:color="auto"/>
        <w:left w:val="none" w:sz="0" w:space="0" w:color="auto"/>
        <w:bottom w:val="none" w:sz="0" w:space="0" w:color="auto"/>
        <w:right w:val="none" w:sz="0" w:space="0" w:color="auto"/>
      </w:divBdr>
      <w:divsChild>
        <w:div w:id="471484155">
          <w:marLeft w:val="0"/>
          <w:marRight w:val="0"/>
          <w:marTop w:val="0"/>
          <w:marBottom w:val="0"/>
          <w:divBdr>
            <w:top w:val="none" w:sz="0" w:space="0" w:color="auto"/>
            <w:left w:val="none" w:sz="0" w:space="0" w:color="auto"/>
            <w:bottom w:val="none" w:sz="0" w:space="0" w:color="auto"/>
            <w:right w:val="none" w:sz="0" w:space="0" w:color="auto"/>
          </w:divBdr>
        </w:div>
        <w:div w:id="737748625">
          <w:marLeft w:val="0"/>
          <w:marRight w:val="0"/>
          <w:marTop w:val="0"/>
          <w:marBottom w:val="0"/>
          <w:divBdr>
            <w:top w:val="none" w:sz="0" w:space="0" w:color="auto"/>
            <w:left w:val="none" w:sz="0" w:space="0" w:color="auto"/>
            <w:bottom w:val="none" w:sz="0" w:space="0" w:color="auto"/>
            <w:right w:val="none" w:sz="0" w:space="0" w:color="auto"/>
          </w:divBdr>
        </w:div>
      </w:divsChild>
    </w:div>
    <w:div w:id="373892214">
      <w:bodyDiv w:val="1"/>
      <w:marLeft w:val="0"/>
      <w:marRight w:val="0"/>
      <w:marTop w:val="0"/>
      <w:marBottom w:val="0"/>
      <w:divBdr>
        <w:top w:val="none" w:sz="0" w:space="0" w:color="auto"/>
        <w:left w:val="none" w:sz="0" w:space="0" w:color="auto"/>
        <w:bottom w:val="none" w:sz="0" w:space="0" w:color="auto"/>
        <w:right w:val="none" w:sz="0" w:space="0" w:color="auto"/>
      </w:divBdr>
      <w:divsChild>
        <w:div w:id="1389764399">
          <w:marLeft w:val="0"/>
          <w:marRight w:val="0"/>
          <w:marTop w:val="0"/>
          <w:marBottom w:val="0"/>
          <w:divBdr>
            <w:top w:val="none" w:sz="0" w:space="0" w:color="auto"/>
            <w:left w:val="none" w:sz="0" w:space="0" w:color="auto"/>
            <w:bottom w:val="none" w:sz="0" w:space="0" w:color="auto"/>
            <w:right w:val="none" w:sz="0" w:space="0" w:color="auto"/>
          </w:divBdr>
        </w:div>
        <w:div w:id="1312834305">
          <w:marLeft w:val="0"/>
          <w:marRight w:val="0"/>
          <w:marTop w:val="0"/>
          <w:marBottom w:val="0"/>
          <w:divBdr>
            <w:top w:val="none" w:sz="0" w:space="0" w:color="auto"/>
            <w:left w:val="none" w:sz="0" w:space="0" w:color="auto"/>
            <w:bottom w:val="none" w:sz="0" w:space="0" w:color="auto"/>
            <w:right w:val="none" w:sz="0" w:space="0" w:color="auto"/>
          </w:divBdr>
        </w:div>
      </w:divsChild>
    </w:div>
    <w:div w:id="480848770">
      <w:bodyDiv w:val="1"/>
      <w:marLeft w:val="0"/>
      <w:marRight w:val="0"/>
      <w:marTop w:val="0"/>
      <w:marBottom w:val="0"/>
      <w:divBdr>
        <w:top w:val="none" w:sz="0" w:space="0" w:color="auto"/>
        <w:left w:val="none" w:sz="0" w:space="0" w:color="auto"/>
        <w:bottom w:val="none" w:sz="0" w:space="0" w:color="auto"/>
        <w:right w:val="none" w:sz="0" w:space="0" w:color="auto"/>
      </w:divBdr>
      <w:divsChild>
        <w:div w:id="515197506">
          <w:marLeft w:val="0"/>
          <w:marRight w:val="0"/>
          <w:marTop w:val="0"/>
          <w:marBottom w:val="0"/>
          <w:divBdr>
            <w:top w:val="none" w:sz="0" w:space="0" w:color="auto"/>
            <w:left w:val="none" w:sz="0" w:space="0" w:color="auto"/>
            <w:bottom w:val="none" w:sz="0" w:space="0" w:color="auto"/>
            <w:right w:val="none" w:sz="0" w:space="0" w:color="auto"/>
          </w:divBdr>
        </w:div>
        <w:div w:id="1649431889">
          <w:marLeft w:val="0"/>
          <w:marRight w:val="0"/>
          <w:marTop w:val="0"/>
          <w:marBottom w:val="0"/>
          <w:divBdr>
            <w:top w:val="none" w:sz="0" w:space="0" w:color="auto"/>
            <w:left w:val="none" w:sz="0" w:space="0" w:color="auto"/>
            <w:bottom w:val="none" w:sz="0" w:space="0" w:color="auto"/>
            <w:right w:val="none" w:sz="0" w:space="0" w:color="auto"/>
          </w:divBdr>
        </w:div>
      </w:divsChild>
    </w:div>
    <w:div w:id="5358537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423">
          <w:marLeft w:val="0"/>
          <w:marRight w:val="0"/>
          <w:marTop w:val="0"/>
          <w:marBottom w:val="0"/>
          <w:divBdr>
            <w:top w:val="none" w:sz="0" w:space="0" w:color="auto"/>
            <w:left w:val="none" w:sz="0" w:space="0" w:color="auto"/>
            <w:bottom w:val="none" w:sz="0" w:space="0" w:color="auto"/>
            <w:right w:val="none" w:sz="0" w:space="0" w:color="auto"/>
          </w:divBdr>
        </w:div>
        <w:div w:id="1896433873">
          <w:marLeft w:val="0"/>
          <w:marRight w:val="0"/>
          <w:marTop w:val="0"/>
          <w:marBottom w:val="0"/>
          <w:divBdr>
            <w:top w:val="none" w:sz="0" w:space="0" w:color="auto"/>
            <w:left w:val="none" w:sz="0" w:space="0" w:color="auto"/>
            <w:bottom w:val="none" w:sz="0" w:space="0" w:color="auto"/>
            <w:right w:val="none" w:sz="0" w:space="0" w:color="auto"/>
          </w:divBdr>
        </w:div>
      </w:divsChild>
    </w:div>
    <w:div w:id="584194676">
      <w:bodyDiv w:val="1"/>
      <w:marLeft w:val="0"/>
      <w:marRight w:val="0"/>
      <w:marTop w:val="0"/>
      <w:marBottom w:val="0"/>
      <w:divBdr>
        <w:top w:val="none" w:sz="0" w:space="0" w:color="auto"/>
        <w:left w:val="none" w:sz="0" w:space="0" w:color="auto"/>
        <w:bottom w:val="none" w:sz="0" w:space="0" w:color="auto"/>
        <w:right w:val="none" w:sz="0" w:space="0" w:color="auto"/>
      </w:divBdr>
      <w:divsChild>
        <w:div w:id="1635210847">
          <w:marLeft w:val="0"/>
          <w:marRight w:val="0"/>
          <w:marTop w:val="0"/>
          <w:marBottom w:val="0"/>
          <w:divBdr>
            <w:top w:val="none" w:sz="0" w:space="0" w:color="auto"/>
            <w:left w:val="none" w:sz="0" w:space="0" w:color="auto"/>
            <w:bottom w:val="none" w:sz="0" w:space="0" w:color="auto"/>
            <w:right w:val="none" w:sz="0" w:space="0" w:color="auto"/>
          </w:divBdr>
        </w:div>
        <w:div w:id="464157332">
          <w:marLeft w:val="0"/>
          <w:marRight w:val="0"/>
          <w:marTop w:val="0"/>
          <w:marBottom w:val="0"/>
          <w:divBdr>
            <w:top w:val="none" w:sz="0" w:space="0" w:color="auto"/>
            <w:left w:val="none" w:sz="0" w:space="0" w:color="auto"/>
            <w:bottom w:val="none" w:sz="0" w:space="0" w:color="auto"/>
            <w:right w:val="none" w:sz="0" w:space="0" w:color="auto"/>
          </w:divBdr>
        </w:div>
      </w:divsChild>
    </w:div>
    <w:div w:id="640691734">
      <w:bodyDiv w:val="1"/>
      <w:marLeft w:val="0"/>
      <w:marRight w:val="0"/>
      <w:marTop w:val="0"/>
      <w:marBottom w:val="0"/>
      <w:divBdr>
        <w:top w:val="none" w:sz="0" w:space="0" w:color="auto"/>
        <w:left w:val="none" w:sz="0" w:space="0" w:color="auto"/>
        <w:bottom w:val="none" w:sz="0" w:space="0" w:color="auto"/>
        <w:right w:val="none" w:sz="0" w:space="0" w:color="auto"/>
      </w:divBdr>
      <w:divsChild>
        <w:div w:id="1199201847">
          <w:marLeft w:val="0"/>
          <w:marRight w:val="0"/>
          <w:marTop w:val="0"/>
          <w:marBottom w:val="0"/>
          <w:divBdr>
            <w:top w:val="none" w:sz="0" w:space="0" w:color="auto"/>
            <w:left w:val="none" w:sz="0" w:space="0" w:color="auto"/>
            <w:bottom w:val="none" w:sz="0" w:space="0" w:color="auto"/>
            <w:right w:val="none" w:sz="0" w:space="0" w:color="auto"/>
          </w:divBdr>
        </w:div>
        <w:div w:id="2125036774">
          <w:marLeft w:val="0"/>
          <w:marRight w:val="0"/>
          <w:marTop w:val="0"/>
          <w:marBottom w:val="0"/>
          <w:divBdr>
            <w:top w:val="none" w:sz="0" w:space="0" w:color="auto"/>
            <w:left w:val="none" w:sz="0" w:space="0" w:color="auto"/>
            <w:bottom w:val="none" w:sz="0" w:space="0" w:color="auto"/>
            <w:right w:val="none" w:sz="0" w:space="0" w:color="auto"/>
          </w:divBdr>
        </w:div>
      </w:divsChild>
    </w:div>
    <w:div w:id="678239153">
      <w:bodyDiv w:val="1"/>
      <w:marLeft w:val="0"/>
      <w:marRight w:val="0"/>
      <w:marTop w:val="0"/>
      <w:marBottom w:val="0"/>
      <w:divBdr>
        <w:top w:val="none" w:sz="0" w:space="0" w:color="auto"/>
        <w:left w:val="none" w:sz="0" w:space="0" w:color="auto"/>
        <w:bottom w:val="none" w:sz="0" w:space="0" w:color="auto"/>
        <w:right w:val="none" w:sz="0" w:space="0" w:color="auto"/>
      </w:divBdr>
      <w:divsChild>
        <w:div w:id="385108789">
          <w:marLeft w:val="0"/>
          <w:marRight w:val="0"/>
          <w:marTop w:val="0"/>
          <w:marBottom w:val="0"/>
          <w:divBdr>
            <w:top w:val="none" w:sz="0" w:space="0" w:color="auto"/>
            <w:left w:val="none" w:sz="0" w:space="0" w:color="auto"/>
            <w:bottom w:val="none" w:sz="0" w:space="0" w:color="auto"/>
            <w:right w:val="none" w:sz="0" w:space="0" w:color="auto"/>
          </w:divBdr>
        </w:div>
        <w:div w:id="1307517305">
          <w:marLeft w:val="0"/>
          <w:marRight w:val="0"/>
          <w:marTop w:val="0"/>
          <w:marBottom w:val="0"/>
          <w:divBdr>
            <w:top w:val="none" w:sz="0" w:space="0" w:color="auto"/>
            <w:left w:val="none" w:sz="0" w:space="0" w:color="auto"/>
            <w:bottom w:val="none" w:sz="0" w:space="0" w:color="auto"/>
            <w:right w:val="none" w:sz="0" w:space="0" w:color="auto"/>
          </w:divBdr>
        </w:div>
      </w:divsChild>
    </w:div>
    <w:div w:id="729109991">
      <w:bodyDiv w:val="1"/>
      <w:marLeft w:val="0"/>
      <w:marRight w:val="0"/>
      <w:marTop w:val="0"/>
      <w:marBottom w:val="0"/>
      <w:divBdr>
        <w:top w:val="none" w:sz="0" w:space="0" w:color="auto"/>
        <w:left w:val="none" w:sz="0" w:space="0" w:color="auto"/>
        <w:bottom w:val="none" w:sz="0" w:space="0" w:color="auto"/>
        <w:right w:val="none" w:sz="0" w:space="0" w:color="auto"/>
      </w:divBdr>
      <w:divsChild>
        <w:div w:id="782845126">
          <w:marLeft w:val="0"/>
          <w:marRight w:val="0"/>
          <w:marTop w:val="0"/>
          <w:marBottom w:val="0"/>
          <w:divBdr>
            <w:top w:val="none" w:sz="0" w:space="0" w:color="auto"/>
            <w:left w:val="none" w:sz="0" w:space="0" w:color="auto"/>
            <w:bottom w:val="none" w:sz="0" w:space="0" w:color="auto"/>
            <w:right w:val="none" w:sz="0" w:space="0" w:color="auto"/>
          </w:divBdr>
        </w:div>
        <w:div w:id="1930775305">
          <w:marLeft w:val="0"/>
          <w:marRight w:val="0"/>
          <w:marTop w:val="0"/>
          <w:marBottom w:val="0"/>
          <w:divBdr>
            <w:top w:val="none" w:sz="0" w:space="0" w:color="auto"/>
            <w:left w:val="none" w:sz="0" w:space="0" w:color="auto"/>
            <w:bottom w:val="none" w:sz="0" w:space="0" w:color="auto"/>
            <w:right w:val="none" w:sz="0" w:space="0" w:color="auto"/>
          </w:divBdr>
        </w:div>
      </w:divsChild>
    </w:div>
    <w:div w:id="751783329">
      <w:bodyDiv w:val="1"/>
      <w:marLeft w:val="0"/>
      <w:marRight w:val="0"/>
      <w:marTop w:val="0"/>
      <w:marBottom w:val="0"/>
      <w:divBdr>
        <w:top w:val="none" w:sz="0" w:space="0" w:color="auto"/>
        <w:left w:val="none" w:sz="0" w:space="0" w:color="auto"/>
        <w:bottom w:val="none" w:sz="0" w:space="0" w:color="auto"/>
        <w:right w:val="none" w:sz="0" w:space="0" w:color="auto"/>
      </w:divBdr>
      <w:divsChild>
        <w:div w:id="741754845">
          <w:marLeft w:val="0"/>
          <w:marRight w:val="0"/>
          <w:marTop w:val="0"/>
          <w:marBottom w:val="0"/>
          <w:divBdr>
            <w:top w:val="none" w:sz="0" w:space="0" w:color="auto"/>
            <w:left w:val="none" w:sz="0" w:space="0" w:color="auto"/>
            <w:bottom w:val="none" w:sz="0" w:space="0" w:color="auto"/>
            <w:right w:val="none" w:sz="0" w:space="0" w:color="auto"/>
          </w:divBdr>
        </w:div>
        <w:div w:id="150027476">
          <w:marLeft w:val="0"/>
          <w:marRight w:val="0"/>
          <w:marTop w:val="0"/>
          <w:marBottom w:val="0"/>
          <w:divBdr>
            <w:top w:val="none" w:sz="0" w:space="0" w:color="auto"/>
            <w:left w:val="none" w:sz="0" w:space="0" w:color="auto"/>
            <w:bottom w:val="none" w:sz="0" w:space="0" w:color="auto"/>
            <w:right w:val="none" w:sz="0" w:space="0" w:color="auto"/>
          </w:divBdr>
        </w:div>
      </w:divsChild>
    </w:div>
    <w:div w:id="801769368">
      <w:bodyDiv w:val="1"/>
      <w:marLeft w:val="0"/>
      <w:marRight w:val="0"/>
      <w:marTop w:val="0"/>
      <w:marBottom w:val="0"/>
      <w:divBdr>
        <w:top w:val="none" w:sz="0" w:space="0" w:color="auto"/>
        <w:left w:val="none" w:sz="0" w:space="0" w:color="auto"/>
        <w:bottom w:val="none" w:sz="0" w:space="0" w:color="auto"/>
        <w:right w:val="none" w:sz="0" w:space="0" w:color="auto"/>
      </w:divBdr>
      <w:divsChild>
        <w:div w:id="1302735389">
          <w:marLeft w:val="0"/>
          <w:marRight w:val="0"/>
          <w:marTop w:val="0"/>
          <w:marBottom w:val="0"/>
          <w:divBdr>
            <w:top w:val="none" w:sz="0" w:space="0" w:color="auto"/>
            <w:left w:val="none" w:sz="0" w:space="0" w:color="auto"/>
            <w:bottom w:val="none" w:sz="0" w:space="0" w:color="auto"/>
            <w:right w:val="none" w:sz="0" w:space="0" w:color="auto"/>
          </w:divBdr>
        </w:div>
        <w:div w:id="665550044">
          <w:marLeft w:val="0"/>
          <w:marRight w:val="0"/>
          <w:marTop w:val="0"/>
          <w:marBottom w:val="0"/>
          <w:divBdr>
            <w:top w:val="none" w:sz="0" w:space="0" w:color="auto"/>
            <w:left w:val="none" w:sz="0" w:space="0" w:color="auto"/>
            <w:bottom w:val="none" w:sz="0" w:space="0" w:color="auto"/>
            <w:right w:val="none" w:sz="0" w:space="0" w:color="auto"/>
          </w:divBdr>
        </w:div>
      </w:divsChild>
    </w:div>
    <w:div w:id="820777870">
      <w:bodyDiv w:val="1"/>
      <w:marLeft w:val="0"/>
      <w:marRight w:val="0"/>
      <w:marTop w:val="0"/>
      <w:marBottom w:val="0"/>
      <w:divBdr>
        <w:top w:val="none" w:sz="0" w:space="0" w:color="auto"/>
        <w:left w:val="none" w:sz="0" w:space="0" w:color="auto"/>
        <w:bottom w:val="none" w:sz="0" w:space="0" w:color="auto"/>
        <w:right w:val="none" w:sz="0" w:space="0" w:color="auto"/>
      </w:divBdr>
      <w:divsChild>
        <w:div w:id="2067025071">
          <w:marLeft w:val="0"/>
          <w:marRight w:val="0"/>
          <w:marTop w:val="0"/>
          <w:marBottom w:val="0"/>
          <w:divBdr>
            <w:top w:val="none" w:sz="0" w:space="0" w:color="auto"/>
            <w:left w:val="none" w:sz="0" w:space="0" w:color="auto"/>
            <w:bottom w:val="none" w:sz="0" w:space="0" w:color="auto"/>
            <w:right w:val="none" w:sz="0" w:space="0" w:color="auto"/>
          </w:divBdr>
        </w:div>
        <w:div w:id="68813872">
          <w:marLeft w:val="0"/>
          <w:marRight w:val="0"/>
          <w:marTop w:val="0"/>
          <w:marBottom w:val="0"/>
          <w:divBdr>
            <w:top w:val="none" w:sz="0" w:space="0" w:color="auto"/>
            <w:left w:val="none" w:sz="0" w:space="0" w:color="auto"/>
            <w:bottom w:val="none" w:sz="0" w:space="0" w:color="auto"/>
            <w:right w:val="none" w:sz="0" w:space="0" w:color="auto"/>
          </w:divBdr>
        </w:div>
      </w:divsChild>
    </w:div>
    <w:div w:id="878711254">
      <w:bodyDiv w:val="1"/>
      <w:marLeft w:val="0"/>
      <w:marRight w:val="0"/>
      <w:marTop w:val="0"/>
      <w:marBottom w:val="0"/>
      <w:divBdr>
        <w:top w:val="none" w:sz="0" w:space="0" w:color="auto"/>
        <w:left w:val="none" w:sz="0" w:space="0" w:color="auto"/>
        <w:bottom w:val="none" w:sz="0" w:space="0" w:color="auto"/>
        <w:right w:val="none" w:sz="0" w:space="0" w:color="auto"/>
      </w:divBdr>
      <w:divsChild>
        <w:div w:id="54671461">
          <w:marLeft w:val="0"/>
          <w:marRight w:val="0"/>
          <w:marTop w:val="0"/>
          <w:marBottom w:val="0"/>
          <w:divBdr>
            <w:top w:val="none" w:sz="0" w:space="0" w:color="auto"/>
            <w:left w:val="none" w:sz="0" w:space="0" w:color="auto"/>
            <w:bottom w:val="none" w:sz="0" w:space="0" w:color="auto"/>
            <w:right w:val="none" w:sz="0" w:space="0" w:color="auto"/>
          </w:divBdr>
        </w:div>
        <w:div w:id="183515815">
          <w:marLeft w:val="0"/>
          <w:marRight w:val="0"/>
          <w:marTop w:val="0"/>
          <w:marBottom w:val="0"/>
          <w:divBdr>
            <w:top w:val="none" w:sz="0" w:space="0" w:color="auto"/>
            <w:left w:val="none" w:sz="0" w:space="0" w:color="auto"/>
            <w:bottom w:val="none" w:sz="0" w:space="0" w:color="auto"/>
            <w:right w:val="none" w:sz="0" w:space="0" w:color="auto"/>
          </w:divBdr>
        </w:div>
      </w:divsChild>
    </w:div>
    <w:div w:id="1100494423">
      <w:bodyDiv w:val="1"/>
      <w:marLeft w:val="0"/>
      <w:marRight w:val="0"/>
      <w:marTop w:val="0"/>
      <w:marBottom w:val="0"/>
      <w:divBdr>
        <w:top w:val="none" w:sz="0" w:space="0" w:color="auto"/>
        <w:left w:val="none" w:sz="0" w:space="0" w:color="auto"/>
        <w:bottom w:val="none" w:sz="0" w:space="0" w:color="auto"/>
        <w:right w:val="none" w:sz="0" w:space="0" w:color="auto"/>
      </w:divBdr>
      <w:divsChild>
        <w:div w:id="1630629969">
          <w:marLeft w:val="0"/>
          <w:marRight w:val="0"/>
          <w:marTop w:val="0"/>
          <w:marBottom w:val="0"/>
          <w:divBdr>
            <w:top w:val="none" w:sz="0" w:space="0" w:color="auto"/>
            <w:left w:val="none" w:sz="0" w:space="0" w:color="auto"/>
            <w:bottom w:val="none" w:sz="0" w:space="0" w:color="auto"/>
            <w:right w:val="none" w:sz="0" w:space="0" w:color="auto"/>
          </w:divBdr>
        </w:div>
        <w:div w:id="98381609">
          <w:marLeft w:val="0"/>
          <w:marRight w:val="0"/>
          <w:marTop w:val="0"/>
          <w:marBottom w:val="0"/>
          <w:divBdr>
            <w:top w:val="none" w:sz="0" w:space="0" w:color="auto"/>
            <w:left w:val="none" w:sz="0" w:space="0" w:color="auto"/>
            <w:bottom w:val="none" w:sz="0" w:space="0" w:color="auto"/>
            <w:right w:val="none" w:sz="0" w:space="0" w:color="auto"/>
          </w:divBdr>
        </w:div>
      </w:divsChild>
    </w:div>
    <w:div w:id="1134060892">
      <w:bodyDiv w:val="1"/>
      <w:marLeft w:val="0"/>
      <w:marRight w:val="0"/>
      <w:marTop w:val="0"/>
      <w:marBottom w:val="0"/>
      <w:divBdr>
        <w:top w:val="none" w:sz="0" w:space="0" w:color="auto"/>
        <w:left w:val="none" w:sz="0" w:space="0" w:color="auto"/>
        <w:bottom w:val="none" w:sz="0" w:space="0" w:color="auto"/>
        <w:right w:val="none" w:sz="0" w:space="0" w:color="auto"/>
      </w:divBdr>
      <w:divsChild>
        <w:div w:id="1028682442">
          <w:marLeft w:val="0"/>
          <w:marRight w:val="0"/>
          <w:marTop w:val="0"/>
          <w:marBottom w:val="0"/>
          <w:divBdr>
            <w:top w:val="none" w:sz="0" w:space="0" w:color="auto"/>
            <w:left w:val="none" w:sz="0" w:space="0" w:color="auto"/>
            <w:bottom w:val="none" w:sz="0" w:space="0" w:color="auto"/>
            <w:right w:val="none" w:sz="0" w:space="0" w:color="auto"/>
          </w:divBdr>
        </w:div>
        <w:div w:id="1337076577">
          <w:marLeft w:val="0"/>
          <w:marRight w:val="0"/>
          <w:marTop w:val="0"/>
          <w:marBottom w:val="0"/>
          <w:divBdr>
            <w:top w:val="none" w:sz="0" w:space="0" w:color="auto"/>
            <w:left w:val="none" w:sz="0" w:space="0" w:color="auto"/>
            <w:bottom w:val="none" w:sz="0" w:space="0" w:color="auto"/>
            <w:right w:val="none" w:sz="0" w:space="0" w:color="auto"/>
          </w:divBdr>
        </w:div>
      </w:divsChild>
    </w:div>
    <w:div w:id="1136028189">
      <w:bodyDiv w:val="1"/>
      <w:marLeft w:val="0"/>
      <w:marRight w:val="0"/>
      <w:marTop w:val="0"/>
      <w:marBottom w:val="0"/>
      <w:divBdr>
        <w:top w:val="none" w:sz="0" w:space="0" w:color="auto"/>
        <w:left w:val="none" w:sz="0" w:space="0" w:color="auto"/>
        <w:bottom w:val="none" w:sz="0" w:space="0" w:color="auto"/>
        <w:right w:val="none" w:sz="0" w:space="0" w:color="auto"/>
      </w:divBdr>
      <w:divsChild>
        <w:div w:id="519590733">
          <w:marLeft w:val="0"/>
          <w:marRight w:val="0"/>
          <w:marTop w:val="0"/>
          <w:marBottom w:val="0"/>
          <w:divBdr>
            <w:top w:val="none" w:sz="0" w:space="0" w:color="auto"/>
            <w:left w:val="none" w:sz="0" w:space="0" w:color="auto"/>
            <w:bottom w:val="none" w:sz="0" w:space="0" w:color="auto"/>
            <w:right w:val="none" w:sz="0" w:space="0" w:color="auto"/>
          </w:divBdr>
          <w:divsChild>
            <w:div w:id="1673871615">
              <w:marLeft w:val="0"/>
              <w:marRight w:val="0"/>
              <w:marTop w:val="0"/>
              <w:marBottom w:val="0"/>
              <w:divBdr>
                <w:top w:val="none" w:sz="0" w:space="0" w:color="auto"/>
                <w:left w:val="none" w:sz="0" w:space="0" w:color="auto"/>
                <w:bottom w:val="none" w:sz="0" w:space="0" w:color="auto"/>
                <w:right w:val="none" w:sz="0" w:space="0" w:color="auto"/>
              </w:divBdr>
              <w:divsChild>
                <w:div w:id="10855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90653">
      <w:bodyDiv w:val="1"/>
      <w:marLeft w:val="0"/>
      <w:marRight w:val="0"/>
      <w:marTop w:val="0"/>
      <w:marBottom w:val="0"/>
      <w:divBdr>
        <w:top w:val="none" w:sz="0" w:space="0" w:color="auto"/>
        <w:left w:val="none" w:sz="0" w:space="0" w:color="auto"/>
        <w:bottom w:val="none" w:sz="0" w:space="0" w:color="auto"/>
        <w:right w:val="none" w:sz="0" w:space="0" w:color="auto"/>
      </w:divBdr>
      <w:divsChild>
        <w:div w:id="1445687360">
          <w:marLeft w:val="0"/>
          <w:marRight w:val="0"/>
          <w:marTop w:val="0"/>
          <w:marBottom w:val="0"/>
          <w:divBdr>
            <w:top w:val="none" w:sz="0" w:space="0" w:color="auto"/>
            <w:left w:val="none" w:sz="0" w:space="0" w:color="auto"/>
            <w:bottom w:val="none" w:sz="0" w:space="0" w:color="auto"/>
            <w:right w:val="none" w:sz="0" w:space="0" w:color="auto"/>
          </w:divBdr>
        </w:div>
        <w:div w:id="1934589119">
          <w:marLeft w:val="0"/>
          <w:marRight w:val="0"/>
          <w:marTop w:val="0"/>
          <w:marBottom w:val="0"/>
          <w:divBdr>
            <w:top w:val="none" w:sz="0" w:space="0" w:color="auto"/>
            <w:left w:val="none" w:sz="0" w:space="0" w:color="auto"/>
            <w:bottom w:val="none" w:sz="0" w:space="0" w:color="auto"/>
            <w:right w:val="none" w:sz="0" w:space="0" w:color="auto"/>
          </w:divBdr>
        </w:div>
      </w:divsChild>
    </w:div>
    <w:div w:id="1317106751">
      <w:bodyDiv w:val="1"/>
      <w:marLeft w:val="0"/>
      <w:marRight w:val="0"/>
      <w:marTop w:val="0"/>
      <w:marBottom w:val="0"/>
      <w:divBdr>
        <w:top w:val="none" w:sz="0" w:space="0" w:color="auto"/>
        <w:left w:val="none" w:sz="0" w:space="0" w:color="auto"/>
        <w:bottom w:val="none" w:sz="0" w:space="0" w:color="auto"/>
        <w:right w:val="none" w:sz="0" w:space="0" w:color="auto"/>
      </w:divBdr>
      <w:divsChild>
        <w:div w:id="1760102159">
          <w:marLeft w:val="0"/>
          <w:marRight w:val="0"/>
          <w:marTop w:val="0"/>
          <w:marBottom w:val="0"/>
          <w:divBdr>
            <w:top w:val="none" w:sz="0" w:space="0" w:color="auto"/>
            <w:left w:val="none" w:sz="0" w:space="0" w:color="auto"/>
            <w:bottom w:val="none" w:sz="0" w:space="0" w:color="auto"/>
            <w:right w:val="none" w:sz="0" w:space="0" w:color="auto"/>
          </w:divBdr>
        </w:div>
        <w:div w:id="1300569405">
          <w:marLeft w:val="0"/>
          <w:marRight w:val="0"/>
          <w:marTop w:val="0"/>
          <w:marBottom w:val="0"/>
          <w:divBdr>
            <w:top w:val="none" w:sz="0" w:space="0" w:color="auto"/>
            <w:left w:val="none" w:sz="0" w:space="0" w:color="auto"/>
            <w:bottom w:val="none" w:sz="0" w:space="0" w:color="auto"/>
            <w:right w:val="none" w:sz="0" w:space="0" w:color="auto"/>
          </w:divBdr>
        </w:div>
      </w:divsChild>
    </w:div>
    <w:div w:id="1522819743">
      <w:bodyDiv w:val="1"/>
      <w:marLeft w:val="0"/>
      <w:marRight w:val="0"/>
      <w:marTop w:val="0"/>
      <w:marBottom w:val="0"/>
      <w:divBdr>
        <w:top w:val="none" w:sz="0" w:space="0" w:color="auto"/>
        <w:left w:val="none" w:sz="0" w:space="0" w:color="auto"/>
        <w:bottom w:val="none" w:sz="0" w:space="0" w:color="auto"/>
        <w:right w:val="none" w:sz="0" w:space="0" w:color="auto"/>
      </w:divBdr>
      <w:divsChild>
        <w:div w:id="1698044315">
          <w:marLeft w:val="0"/>
          <w:marRight w:val="0"/>
          <w:marTop w:val="0"/>
          <w:marBottom w:val="0"/>
          <w:divBdr>
            <w:top w:val="none" w:sz="0" w:space="0" w:color="auto"/>
            <w:left w:val="none" w:sz="0" w:space="0" w:color="auto"/>
            <w:bottom w:val="none" w:sz="0" w:space="0" w:color="auto"/>
            <w:right w:val="none" w:sz="0" w:space="0" w:color="auto"/>
          </w:divBdr>
        </w:div>
        <w:div w:id="1707678717">
          <w:marLeft w:val="0"/>
          <w:marRight w:val="0"/>
          <w:marTop w:val="0"/>
          <w:marBottom w:val="0"/>
          <w:divBdr>
            <w:top w:val="none" w:sz="0" w:space="0" w:color="auto"/>
            <w:left w:val="none" w:sz="0" w:space="0" w:color="auto"/>
            <w:bottom w:val="none" w:sz="0" w:space="0" w:color="auto"/>
            <w:right w:val="none" w:sz="0" w:space="0" w:color="auto"/>
          </w:divBdr>
        </w:div>
      </w:divsChild>
    </w:div>
    <w:div w:id="1529415494">
      <w:bodyDiv w:val="1"/>
      <w:marLeft w:val="0"/>
      <w:marRight w:val="0"/>
      <w:marTop w:val="0"/>
      <w:marBottom w:val="0"/>
      <w:divBdr>
        <w:top w:val="none" w:sz="0" w:space="0" w:color="auto"/>
        <w:left w:val="none" w:sz="0" w:space="0" w:color="auto"/>
        <w:bottom w:val="none" w:sz="0" w:space="0" w:color="auto"/>
        <w:right w:val="none" w:sz="0" w:space="0" w:color="auto"/>
      </w:divBdr>
      <w:divsChild>
        <w:div w:id="501311771">
          <w:marLeft w:val="0"/>
          <w:marRight w:val="0"/>
          <w:marTop w:val="0"/>
          <w:marBottom w:val="0"/>
          <w:divBdr>
            <w:top w:val="none" w:sz="0" w:space="0" w:color="auto"/>
            <w:left w:val="none" w:sz="0" w:space="0" w:color="auto"/>
            <w:bottom w:val="none" w:sz="0" w:space="0" w:color="auto"/>
            <w:right w:val="none" w:sz="0" w:space="0" w:color="auto"/>
          </w:divBdr>
        </w:div>
        <w:div w:id="1481384501">
          <w:marLeft w:val="0"/>
          <w:marRight w:val="0"/>
          <w:marTop w:val="0"/>
          <w:marBottom w:val="0"/>
          <w:divBdr>
            <w:top w:val="none" w:sz="0" w:space="0" w:color="auto"/>
            <w:left w:val="none" w:sz="0" w:space="0" w:color="auto"/>
            <w:bottom w:val="none" w:sz="0" w:space="0" w:color="auto"/>
            <w:right w:val="none" w:sz="0" w:space="0" w:color="auto"/>
          </w:divBdr>
        </w:div>
      </w:divsChild>
    </w:div>
    <w:div w:id="1566793295">
      <w:bodyDiv w:val="1"/>
      <w:marLeft w:val="0"/>
      <w:marRight w:val="0"/>
      <w:marTop w:val="0"/>
      <w:marBottom w:val="0"/>
      <w:divBdr>
        <w:top w:val="none" w:sz="0" w:space="0" w:color="auto"/>
        <w:left w:val="none" w:sz="0" w:space="0" w:color="auto"/>
        <w:bottom w:val="none" w:sz="0" w:space="0" w:color="auto"/>
        <w:right w:val="none" w:sz="0" w:space="0" w:color="auto"/>
      </w:divBdr>
      <w:divsChild>
        <w:div w:id="1933582876">
          <w:marLeft w:val="0"/>
          <w:marRight w:val="0"/>
          <w:marTop w:val="0"/>
          <w:marBottom w:val="0"/>
          <w:divBdr>
            <w:top w:val="none" w:sz="0" w:space="0" w:color="auto"/>
            <w:left w:val="none" w:sz="0" w:space="0" w:color="auto"/>
            <w:bottom w:val="none" w:sz="0" w:space="0" w:color="auto"/>
            <w:right w:val="none" w:sz="0" w:space="0" w:color="auto"/>
          </w:divBdr>
        </w:div>
        <w:div w:id="534391223">
          <w:marLeft w:val="0"/>
          <w:marRight w:val="0"/>
          <w:marTop w:val="0"/>
          <w:marBottom w:val="0"/>
          <w:divBdr>
            <w:top w:val="none" w:sz="0" w:space="0" w:color="auto"/>
            <w:left w:val="none" w:sz="0" w:space="0" w:color="auto"/>
            <w:bottom w:val="none" w:sz="0" w:space="0" w:color="auto"/>
            <w:right w:val="none" w:sz="0" w:space="0" w:color="auto"/>
          </w:divBdr>
        </w:div>
      </w:divsChild>
    </w:div>
    <w:div w:id="1617517755">
      <w:bodyDiv w:val="1"/>
      <w:marLeft w:val="0"/>
      <w:marRight w:val="0"/>
      <w:marTop w:val="0"/>
      <w:marBottom w:val="0"/>
      <w:divBdr>
        <w:top w:val="none" w:sz="0" w:space="0" w:color="auto"/>
        <w:left w:val="none" w:sz="0" w:space="0" w:color="auto"/>
        <w:bottom w:val="none" w:sz="0" w:space="0" w:color="auto"/>
        <w:right w:val="none" w:sz="0" w:space="0" w:color="auto"/>
      </w:divBdr>
      <w:divsChild>
        <w:div w:id="2090733863">
          <w:marLeft w:val="0"/>
          <w:marRight w:val="0"/>
          <w:marTop w:val="0"/>
          <w:marBottom w:val="0"/>
          <w:divBdr>
            <w:top w:val="none" w:sz="0" w:space="0" w:color="auto"/>
            <w:left w:val="none" w:sz="0" w:space="0" w:color="auto"/>
            <w:bottom w:val="none" w:sz="0" w:space="0" w:color="auto"/>
            <w:right w:val="none" w:sz="0" w:space="0" w:color="auto"/>
          </w:divBdr>
        </w:div>
        <w:div w:id="312415713">
          <w:marLeft w:val="0"/>
          <w:marRight w:val="0"/>
          <w:marTop w:val="0"/>
          <w:marBottom w:val="0"/>
          <w:divBdr>
            <w:top w:val="none" w:sz="0" w:space="0" w:color="auto"/>
            <w:left w:val="none" w:sz="0" w:space="0" w:color="auto"/>
            <w:bottom w:val="none" w:sz="0" w:space="0" w:color="auto"/>
            <w:right w:val="none" w:sz="0" w:space="0" w:color="auto"/>
          </w:divBdr>
        </w:div>
      </w:divsChild>
    </w:div>
    <w:div w:id="1720470494">
      <w:bodyDiv w:val="1"/>
      <w:marLeft w:val="0"/>
      <w:marRight w:val="0"/>
      <w:marTop w:val="0"/>
      <w:marBottom w:val="0"/>
      <w:divBdr>
        <w:top w:val="none" w:sz="0" w:space="0" w:color="auto"/>
        <w:left w:val="none" w:sz="0" w:space="0" w:color="auto"/>
        <w:bottom w:val="none" w:sz="0" w:space="0" w:color="auto"/>
        <w:right w:val="none" w:sz="0" w:space="0" w:color="auto"/>
      </w:divBdr>
      <w:divsChild>
        <w:div w:id="1409422369">
          <w:marLeft w:val="0"/>
          <w:marRight w:val="0"/>
          <w:marTop w:val="0"/>
          <w:marBottom w:val="0"/>
          <w:divBdr>
            <w:top w:val="none" w:sz="0" w:space="0" w:color="auto"/>
            <w:left w:val="none" w:sz="0" w:space="0" w:color="auto"/>
            <w:bottom w:val="none" w:sz="0" w:space="0" w:color="auto"/>
            <w:right w:val="none" w:sz="0" w:space="0" w:color="auto"/>
          </w:divBdr>
        </w:div>
        <w:div w:id="1257060856">
          <w:marLeft w:val="0"/>
          <w:marRight w:val="0"/>
          <w:marTop w:val="0"/>
          <w:marBottom w:val="0"/>
          <w:divBdr>
            <w:top w:val="none" w:sz="0" w:space="0" w:color="auto"/>
            <w:left w:val="none" w:sz="0" w:space="0" w:color="auto"/>
            <w:bottom w:val="none" w:sz="0" w:space="0" w:color="auto"/>
            <w:right w:val="none" w:sz="0" w:space="0" w:color="auto"/>
          </w:divBdr>
        </w:div>
      </w:divsChild>
    </w:div>
    <w:div w:id="2092896047">
      <w:bodyDiv w:val="1"/>
      <w:marLeft w:val="0"/>
      <w:marRight w:val="0"/>
      <w:marTop w:val="0"/>
      <w:marBottom w:val="0"/>
      <w:divBdr>
        <w:top w:val="none" w:sz="0" w:space="0" w:color="auto"/>
        <w:left w:val="none" w:sz="0" w:space="0" w:color="auto"/>
        <w:bottom w:val="none" w:sz="0" w:space="0" w:color="auto"/>
        <w:right w:val="none" w:sz="0" w:space="0" w:color="auto"/>
      </w:divBdr>
      <w:divsChild>
        <w:div w:id="1272199170">
          <w:marLeft w:val="0"/>
          <w:marRight w:val="0"/>
          <w:marTop w:val="0"/>
          <w:marBottom w:val="0"/>
          <w:divBdr>
            <w:top w:val="none" w:sz="0" w:space="0" w:color="auto"/>
            <w:left w:val="none" w:sz="0" w:space="0" w:color="auto"/>
            <w:bottom w:val="none" w:sz="0" w:space="0" w:color="auto"/>
            <w:right w:val="none" w:sz="0" w:space="0" w:color="auto"/>
          </w:divBdr>
        </w:div>
        <w:div w:id="1045177416">
          <w:marLeft w:val="0"/>
          <w:marRight w:val="0"/>
          <w:marTop w:val="0"/>
          <w:marBottom w:val="0"/>
          <w:divBdr>
            <w:top w:val="none" w:sz="0" w:space="0" w:color="auto"/>
            <w:left w:val="none" w:sz="0" w:space="0" w:color="auto"/>
            <w:bottom w:val="none" w:sz="0" w:space="0" w:color="auto"/>
            <w:right w:val="none" w:sz="0" w:space="0" w:color="auto"/>
          </w:divBdr>
        </w:div>
      </w:divsChild>
    </w:div>
    <w:div w:id="2120491868">
      <w:bodyDiv w:val="1"/>
      <w:marLeft w:val="0"/>
      <w:marRight w:val="0"/>
      <w:marTop w:val="0"/>
      <w:marBottom w:val="0"/>
      <w:divBdr>
        <w:top w:val="none" w:sz="0" w:space="0" w:color="auto"/>
        <w:left w:val="none" w:sz="0" w:space="0" w:color="auto"/>
        <w:bottom w:val="none" w:sz="0" w:space="0" w:color="auto"/>
        <w:right w:val="none" w:sz="0" w:space="0" w:color="auto"/>
      </w:divBdr>
      <w:divsChild>
        <w:div w:id="250239842">
          <w:marLeft w:val="0"/>
          <w:marRight w:val="0"/>
          <w:marTop w:val="0"/>
          <w:marBottom w:val="0"/>
          <w:divBdr>
            <w:top w:val="none" w:sz="0" w:space="0" w:color="auto"/>
            <w:left w:val="none" w:sz="0" w:space="0" w:color="auto"/>
            <w:bottom w:val="none" w:sz="0" w:space="0" w:color="auto"/>
            <w:right w:val="none" w:sz="0" w:space="0" w:color="auto"/>
          </w:divBdr>
        </w:div>
        <w:div w:id="1592541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rf.info/nk/105.3/" TargetMode="External"/><Relationship Id="rId4" Type="http://schemas.openxmlformats.org/officeDocument/2006/relationships/hyperlink" Target="http://www.zakonrf.info/nk/gl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1301</Words>
  <Characters>7420</Characters>
  <Application>Microsoft Office Word</Application>
  <DocSecurity>0</DocSecurity>
  <Lines>61</Lines>
  <Paragraphs>17</Paragraphs>
  <ScaleCrop>false</ScaleCrop>
  <Company>SPecialiST RePack</Company>
  <LinksUpToDate>false</LinksUpToDate>
  <CharactersWithSpaces>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dcterms:created xsi:type="dcterms:W3CDTF">2017-03-24T17:12:00Z</dcterms:created>
  <dcterms:modified xsi:type="dcterms:W3CDTF">2017-03-26T17:41:00Z</dcterms:modified>
</cp:coreProperties>
</file>