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D8" w:rsidRDefault="003613D8" w:rsidP="003613D8">
      <w:pPr>
        <w:pStyle w:val="2"/>
        <w:rPr>
          <w:sz w:val="27"/>
          <w:szCs w:val="27"/>
        </w:rPr>
      </w:pPr>
      <w:r>
        <w:rPr>
          <w:sz w:val="27"/>
          <w:szCs w:val="27"/>
        </w:rPr>
        <w:t>Статья 259. Методы и порядок расчета сумм амортизации</w:t>
      </w:r>
    </w:p>
    <w:p w:rsidR="003613D8" w:rsidRDefault="003613D8" w:rsidP="003613D8">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прибыль организаций" w:history="1">
        <w:r>
          <w:rPr>
            <w:rStyle w:val="a3"/>
            <w:b/>
            <w:bCs/>
            <w:color w:val="707070"/>
            <w:sz w:val="20"/>
            <w:szCs w:val="20"/>
            <w:u w:val="none"/>
          </w:rPr>
          <w:t>[Глава 25]</w:t>
        </w:r>
      </w:hyperlink>
      <w:r>
        <w:rPr>
          <w:rStyle w:val="apple-converted-space"/>
        </w:rPr>
        <w:t> </w:t>
      </w:r>
      <w:hyperlink r:id="rId6" w:tooltip="Методы и порядок расчета сумм амортизации" w:history="1">
        <w:r>
          <w:rPr>
            <w:rStyle w:val="a3"/>
            <w:b/>
            <w:bCs/>
            <w:color w:val="707070"/>
            <w:sz w:val="20"/>
            <w:szCs w:val="20"/>
            <w:u w:val="none"/>
          </w:rPr>
          <w:t>[Статья 259]</w:t>
        </w:r>
      </w:hyperlink>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линейный метод;</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нелинейный метод.</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Метод начисления амортизации устанавливается налогоплательщиком самостоятельно применительно ко всем объектам амортизируемого имущества (за исключением объектов, амортизация по которым начисляется линейным методом в соответствии с пунктом 3 настоящей статьи)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Установленные настоящим пунктом методы начисления амортизации применяются ко всем основным средствам вне зависимости от даты их приобретения.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нелинейного метода начисления амортизации или отдельно по каждому объекту амортизируемого имущества при применении линейного метода начисления амортизации.</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передаточных устройств, нематериальных активов, входящих в восьмую - десятую амортизационные группы, независимо от срока ввода в эксплуатацию соответствующих объектов, а также амортизируемых основных средств, используемых налогоплательщиками, указанными в пункте 1 статьи 275.2 настоящего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 отношении прочих объектов амортизируемого имущества независимо от срока введения объектов в эксплуатацию применяется только метод начисления амортизации, установленный налогоплательщиком в учетной политике для целей налогообложения.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Начисление амортизации по объектам амортизируемого имущества, в том числе по объектам основных средств, права на которые подлежат государственной регистрации в соответствии с законодательством Российской Федерации, начинается с 1-го числа месяца, следующего за месяцем, в котором этот объект был введен в эксплуатацию, независимо от даты его государственной регистрации.</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соответствии со статьей 55 настоящего Кодекса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пункта не распространяются на организации, изменяющие свою организационно-правовую форму.</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подпунктом 3 пункта 1 статьи 254 настоящего Кодекса. Для целей настоящего пункта организациями, осуществляющими деятельность в области информационных технологий,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w:t>
      </w:r>
      <w:r>
        <w:rPr>
          <w:rFonts w:ascii="Arial" w:hAnsi="Arial" w:cs="Arial"/>
          <w:color w:val="000000"/>
          <w:sz w:val="27"/>
          <w:szCs w:val="27"/>
        </w:rPr>
        <w:lastRenderedPageBreak/>
        <w:t>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Указанные в настоящем пункте организации должны выполнять следующие условия:</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(налогового) периода составляет не менее 90 процентов в сумме всех доходов организации за указанный период, в том числе от иностранных лиц не менее 70 процентов;</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среднесписочная численность работников за отчетный (налоговый) период составляет не менее 50 человек.</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определении доли доходов от покупателей - иностранных лиц учитываются доходы от иностранных лиц, местом осуществления деятельности которых не является территория Российской Федерации. Место осуществления деятельности покупателя определяется как место фактического присутствия покупателя на территории иностранного государства на основе государственной регистрации организации,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места нахождения постоянного представительства, если программы для ЭВМ и базы данных, услуги (работы) и имущественные права, предусмотренные настоящим пунктом, приобретались через это постоянное представительство, место жительства физического лица.</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Документами, подтверждающими получение доходов от покупателей - иностранных лиц, являются договор (копия договора), заключенный с иностранным лицом, и документы, подтверждающие факт оказания услуг (выполнения работ), или таможенная декларация (ее копия) с отметками российского таможенного органа, осуществившего выпуск товаров в </w:t>
      </w:r>
      <w:r>
        <w:rPr>
          <w:rFonts w:ascii="Arial" w:hAnsi="Arial" w:cs="Arial"/>
          <w:color w:val="000000"/>
          <w:sz w:val="27"/>
          <w:szCs w:val="27"/>
        </w:rPr>
        <w:lastRenderedPageBreak/>
        <w:t>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w:t>
      </w:r>
    </w:p>
    <w:p w:rsidR="003613D8" w:rsidRDefault="003613D8" w:rsidP="003613D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Театры, музеи, библиотеки, концертные организации, являющиеся бюджетными учреждениями, имеют право не применять установленный настоящей статьей порядок амортизации в отношении объектов амортизируемого имущества, за исключением объектов недвижимого имущества. В этом случае осуществленные за счет средств от приносящей доход деятельности расходы указанных организаций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признаются в составе материальных расходов в полной сумме по мере ввода соответствующих объектов в эксплуатацию.</w:t>
      </w:r>
    </w:p>
    <w:p w:rsidR="003936A4" w:rsidRPr="003613D8" w:rsidRDefault="003613D8" w:rsidP="003613D8"/>
    <w:sectPr w:rsidR="003936A4" w:rsidRPr="003613D8" w:rsidSect="00F54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0773D1"/>
    <w:rsid w:val="000773D1"/>
    <w:rsid w:val="0014727D"/>
    <w:rsid w:val="003613D8"/>
    <w:rsid w:val="005C355F"/>
    <w:rsid w:val="00F36010"/>
    <w:rsid w:val="00F54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1B"/>
  </w:style>
  <w:style w:type="paragraph" w:styleId="2">
    <w:name w:val="heading 2"/>
    <w:basedOn w:val="a"/>
    <w:link w:val="20"/>
    <w:uiPriority w:val="9"/>
    <w:qFormat/>
    <w:rsid w:val="000773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3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73D1"/>
    <w:rPr>
      <w:color w:val="0000FF"/>
      <w:u w:val="single"/>
    </w:rPr>
  </w:style>
  <w:style w:type="character" w:customStyle="1" w:styleId="apple-converted-space">
    <w:name w:val="apple-converted-space"/>
    <w:basedOn w:val="a0"/>
    <w:rsid w:val="000773D1"/>
  </w:style>
  <w:style w:type="paragraph" w:styleId="a4">
    <w:name w:val="Normal (Web)"/>
    <w:basedOn w:val="a"/>
    <w:uiPriority w:val="99"/>
    <w:semiHidden/>
    <w:unhideWhenUsed/>
    <w:rsid w:val="00077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630312">
      <w:bodyDiv w:val="1"/>
      <w:marLeft w:val="0"/>
      <w:marRight w:val="0"/>
      <w:marTop w:val="0"/>
      <w:marBottom w:val="0"/>
      <w:divBdr>
        <w:top w:val="none" w:sz="0" w:space="0" w:color="auto"/>
        <w:left w:val="none" w:sz="0" w:space="0" w:color="auto"/>
        <w:bottom w:val="none" w:sz="0" w:space="0" w:color="auto"/>
        <w:right w:val="none" w:sz="0" w:space="0" w:color="auto"/>
      </w:divBdr>
      <w:divsChild>
        <w:div w:id="1231579984">
          <w:marLeft w:val="0"/>
          <w:marRight w:val="0"/>
          <w:marTop w:val="0"/>
          <w:marBottom w:val="0"/>
          <w:divBdr>
            <w:top w:val="none" w:sz="0" w:space="0" w:color="auto"/>
            <w:left w:val="none" w:sz="0" w:space="0" w:color="auto"/>
            <w:bottom w:val="none" w:sz="0" w:space="0" w:color="auto"/>
            <w:right w:val="none" w:sz="0" w:space="0" w:color="auto"/>
          </w:divBdr>
        </w:div>
        <w:div w:id="276330916">
          <w:marLeft w:val="0"/>
          <w:marRight w:val="0"/>
          <w:marTop w:val="0"/>
          <w:marBottom w:val="0"/>
          <w:divBdr>
            <w:top w:val="none" w:sz="0" w:space="0" w:color="auto"/>
            <w:left w:val="none" w:sz="0" w:space="0" w:color="auto"/>
            <w:bottom w:val="none" w:sz="0" w:space="0" w:color="auto"/>
            <w:right w:val="none" w:sz="0" w:space="0" w:color="auto"/>
          </w:divBdr>
        </w:div>
      </w:divsChild>
    </w:div>
    <w:div w:id="804658849">
      <w:bodyDiv w:val="1"/>
      <w:marLeft w:val="0"/>
      <w:marRight w:val="0"/>
      <w:marTop w:val="0"/>
      <w:marBottom w:val="0"/>
      <w:divBdr>
        <w:top w:val="none" w:sz="0" w:space="0" w:color="auto"/>
        <w:left w:val="none" w:sz="0" w:space="0" w:color="auto"/>
        <w:bottom w:val="none" w:sz="0" w:space="0" w:color="auto"/>
        <w:right w:val="none" w:sz="0" w:space="0" w:color="auto"/>
      </w:divBdr>
      <w:divsChild>
        <w:div w:id="791441263">
          <w:marLeft w:val="0"/>
          <w:marRight w:val="0"/>
          <w:marTop w:val="0"/>
          <w:marBottom w:val="0"/>
          <w:divBdr>
            <w:top w:val="none" w:sz="0" w:space="0" w:color="auto"/>
            <w:left w:val="none" w:sz="0" w:space="0" w:color="auto"/>
            <w:bottom w:val="none" w:sz="0" w:space="0" w:color="auto"/>
            <w:right w:val="none" w:sz="0" w:space="0" w:color="auto"/>
          </w:divBdr>
        </w:div>
        <w:div w:id="20842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59/" TargetMode="External"/><Relationship Id="rId5" Type="http://schemas.openxmlformats.org/officeDocument/2006/relationships/hyperlink" Target="http://www.zakonrf.info/nk/gl2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6576</Characters>
  <Application>Microsoft Office Word</Application>
  <DocSecurity>0</DocSecurity>
  <Lines>54</Lines>
  <Paragraphs>15</Paragraphs>
  <ScaleCrop>false</ScaleCrop>
  <Company>Melkosoft</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2017-03-10T11:39:00Z</dcterms:created>
  <dcterms:modified xsi:type="dcterms:W3CDTF">2017-03-10T12:03:00Z</dcterms:modified>
</cp:coreProperties>
</file>