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98" w:rsidRPr="007A0B98" w:rsidRDefault="007A0B98" w:rsidP="007A0B98">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A0B98">
        <w:rPr>
          <w:rFonts w:ascii="Times New Roman" w:eastAsia="Times New Roman" w:hAnsi="Times New Roman" w:cs="Times New Roman"/>
          <w:b/>
          <w:bCs/>
          <w:sz w:val="20"/>
          <w:szCs w:val="20"/>
          <w:lang w:eastAsia="ru-RU"/>
        </w:rPr>
        <w:t>Статья 289. Налоговая декларация</w:t>
      </w:r>
    </w:p>
    <w:p w:rsidR="007A0B98" w:rsidRPr="007A0B98" w:rsidRDefault="007A0B98" w:rsidP="007A0B98">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7A0B98">
          <w:rPr>
            <w:rFonts w:ascii="Times New Roman" w:eastAsia="Times New Roman" w:hAnsi="Times New Roman" w:cs="Times New Roman"/>
            <w:b/>
            <w:bCs/>
            <w:color w:val="707070"/>
            <w:sz w:val="20"/>
            <w:lang w:eastAsia="ru-RU"/>
          </w:rPr>
          <w:t>[Налоговый кодекс РФ]</w:t>
        </w:r>
      </w:hyperlink>
      <w:r w:rsidRPr="007A0B98">
        <w:rPr>
          <w:rFonts w:ascii="Times New Roman" w:eastAsia="Times New Roman" w:hAnsi="Times New Roman" w:cs="Times New Roman"/>
          <w:sz w:val="24"/>
          <w:szCs w:val="24"/>
          <w:lang w:eastAsia="ru-RU"/>
        </w:rPr>
        <w:t> </w:t>
      </w:r>
      <w:hyperlink r:id="rId5" w:tooltip="Налог на прибыль организаций" w:history="1">
        <w:r w:rsidRPr="007A0B98">
          <w:rPr>
            <w:rFonts w:ascii="Times New Roman" w:eastAsia="Times New Roman" w:hAnsi="Times New Roman" w:cs="Times New Roman"/>
            <w:b/>
            <w:bCs/>
            <w:color w:val="707070"/>
            <w:sz w:val="20"/>
            <w:lang w:eastAsia="ru-RU"/>
          </w:rPr>
          <w:t>[Глава 25]</w:t>
        </w:r>
      </w:hyperlink>
      <w:r w:rsidRPr="007A0B98">
        <w:rPr>
          <w:rFonts w:ascii="Times New Roman" w:eastAsia="Times New Roman" w:hAnsi="Times New Roman" w:cs="Times New Roman"/>
          <w:sz w:val="24"/>
          <w:szCs w:val="24"/>
          <w:lang w:eastAsia="ru-RU"/>
        </w:rPr>
        <w:t> </w:t>
      </w:r>
      <w:hyperlink r:id="rId6" w:tooltip="Налоговая декларация" w:history="1">
        <w:r w:rsidRPr="007A0B98">
          <w:rPr>
            <w:rFonts w:ascii="Times New Roman" w:eastAsia="Times New Roman" w:hAnsi="Times New Roman" w:cs="Times New Roman"/>
            <w:b/>
            <w:bCs/>
            <w:color w:val="707070"/>
            <w:sz w:val="20"/>
            <w:lang w:eastAsia="ru-RU"/>
          </w:rPr>
          <w:t>[Статья 289]</w:t>
        </w:r>
      </w:hyperlink>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1. Налогоплательщики независимо от наличия у них обязанности по уплате налога и (или) авансовых платежей по налогу,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если иное не предусмотрено настоящим пунктом, соответствующие налоговые декларации в порядке, определенном настоящей статьей.</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налоговые расчеты в порядке, определенном настоящей статьей.</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Налогоплательщики, в соответствии со статьей 83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Налогоплательщики, указанные в пункте 1 статьи 275.2 настоящего Кодекса, обязаны по истечении каждого отчетного и налогового периода представлять в налоговые органы по месту учета (по месту учета в качестве крупнейших налогоплательщиков, по месту учета в качестве оператора нового морского месторождения углеводородного сырья) налоговые декларации с расчетом налоговых баз отдельно в отношении каждого нового морского месторождения углеводородного сырья.</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2. Налогоплательщики по итогам отчетного периода представляют налоговые декларации упрощенной формы. Некоммерческие организации, у которых не возникает обязательств по уплате налога, представляют налоговую декларацию по упрощенной форме по истечении налогового периода.</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Театры, музеи, библиотеки, концертные организации, являющиеся бюджетными учреждениями, представляют налоговую декларацию только по истечении налогового периода.</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3.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4. Налоговые декларации (налоговые расчеты)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5. Организация, в состав которой входят обособленные подразделения, по окончании каждого отчетного и налогового периода представляет в налоговые органы по месту своего нахождения налоговую декларацию в целом по организации с распределением по обособленным подразделениям.</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6.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и осуществляющие расчет совокупного размера прибыли в соответствии с пунктом 18 статьи 274 настоящего Кодекса вместе с налоговой декларацией представляют расчет совокупного размера прибыли.</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7. Участники консолидированной группы налогоплательщиков, за исключением ответственного участника этой группы, не представляют налоговых деклараций в налоговые органы по месту своего учета, если они не получают доходов, не включаемых в консолидированную налоговую базу этой группы.</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lastRenderedPageBreak/>
        <w:t>Если участники консолидированной группы налогоплательщиков получают доходы, не включаемые в консолидированную налоговую базу этой группы, они представляют в налоговые органы по месту своего учета налоговые декларации только в части исчисления налога в отношении таких доходов.</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8. Налоговая декларация по налогу на прибыль организаций по консолидированной группе налогоплательщиков по итогам отчетного (налогового) периода составляется ответственным участником этой группы на основе данных налогового учета и консолидированной налоговой базы в целом по консолидированной группе налогоплательщиков только в части исчисления налога в отношении консолидированной налоговой базы.</w:t>
      </w:r>
    </w:p>
    <w:p w:rsidR="007A0B98" w:rsidRPr="007A0B98" w:rsidRDefault="007A0B98" w:rsidP="007A0B98">
      <w:pPr>
        <w:shd w:val="clear" w:color="auto" w:fill="FFFFFF"/>
        <w:spacing w:before="240" w:after="240" w:line="240" w:lineRule="atLeast"/>
        <w:rPr>
          <w:rFonts w:ascii="Arial" w:eastAsia="Times New Roman" w:hAnsi="Arial" w:cs="Arial"/>
          <w:color w:val="000000"/>
          <w:sz w:val="20"/>
          <w:szCs w:val="20"/>
          <w:lang w:eastAsia="ru-RU"/>
        </w:rPr>
      </w:pPr>
      <w:r w:rsidRPr="007A0B98">
        <w:rPr>
          <w:rFonts w:ascii="Arial" w:eastAsia="Times New Roman" w:hAnsi="Arial" w:cs="Arial"/>
          <w:color w:val="000000"/>
          <w:sz w:val="20"/>
          <w:szCs w:val="20"/>
          <w:lang w:eastAsia="ru-RU"/>
        </w:rPr>
        <w:t>Ответственный участник консолидированной группы налогоплательщиков обязан представлять налоговые декларации по налогу на прибыль организаций по консолидированной группе налогоплательщиков в налоговый орган по месту регистрации договора о создании такой группы в порядке и сроки, которые установлены настоящей статьей для налоговой декларации по налогу.</w:t>
      </w:r>
    </w:p>
    <w:p w:rsidR="003936A4" w:rsidRDefault="007A0B98"/>
    <w:sectPr w:rsidR="003936A4" w:rsidSect="008A7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7A0B98"/>
    <w:rsid w:val="0014727D"/>
    <w:rsid w:val="007A0B98"/>
    <w:rsid w:val="008A786F"/>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6F"/>
  </w:style>
  <w:style w:type="paragraph" w:styleId="2">
    <w:name w:val="heading 2"/>
    <w:basedOn w:val="a"/>
    <w:link w:val="20"/>
    <w:uiPriority w:val="9"/>
    <w:qFormat/>
    <w:rsid w:val="007A0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B9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0B98"/>
    <w:rPr>
      <w:color w:val="0000FF"/>
      <w:u w:val="single"/>
    </w:rPr>
  </w:style>
  <w:style w:type="character" w:customStyle="1" w:styleId="apple-converted-space">
    <w:name w:val="apple-converted-space"/>
    <w:basedOn w:val="a0"/>
    <w:rsid w:val="007A0B98"/>
  </w:style>
  <w:style w:type="paragraph" w:styleId="a4">
    <w:name w:val="Normal (Web)"/>
    <w:basedOn w:val="a"/>
    <w:uiPriority w:val="99"/>
    <w:semiHidden/>
    <w:unhideWhenUsed/>
    <w:rsid w:val="007A0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7023543">
      <w:bodyDiv w:val="1"/>
      <w:marLeft w:val="0"/>
      <w:marRight w:val="0"/>
      <w:marTop w:val="0"/>
      <w:marBottom w:val="0"/>
      <w:divBdr>
        <w:top w:val="none" w:sz="0" w:space="0" w:color="auto"/>
        <w:left w:val="none" w:sz="0" w:space="0" w:color="auto"/>
        <w:bottom w:val="none" w:sz="0" w:space="0" w:color="auto"/>
        <w:right w:val="none" w:sz="0" w:space="0" w:color="auto"/>
      </w:divBdr>
      <w:divsChild>
        <w:div w:id="1936983477">
          <w:marLeft w:val="0"/>
          <w:marRight w:val="0"/>
          <w:marTop w:val="0"/>
          <w:marBottom w:val="0"/>
          <w:divBdr>
            <w:top w:val="none" w:sz="0" w:space="0" w:color="auto"/>
            <w:left w:val="none" w:sz="0" w:space="0" w:color="auto"/>
            <w:bottom w:val="none" w:sz="0" w:space="0" w:color="auto"/>
            <w:right w:val="none" w:sz="0" w:space="0" w:color="auto"/>
          </w:divBdr>
        </w:div>
        <w:div w:id="214211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89/" TargetMode="External"/><Relationship Id="rId5" Type="http://schemas.openxmlformats.org/officeDocument/2006/relationships/hyperlink" Target="http://www.zakonrf.info/nk/gl25/"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3968</Characters>
  <Application>Microsoft Office Word</Application>
  <DocSecurity>0</DocSecurity>
  <Lines>33</Lines>
  <Paragraphs>9</Paragraphs>
  <ScaleCrop>false</ScaleCrop>
  <Company>Melkosoft</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2017-03-20T06:20:00Z</dcterms:created>
  <dcterms:modified xsi:type="dcterms:W3CDTF">2017-03-20T06:20:00Z</dcterms:modified>
</cp:coreProperties>
</file>