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B8" w:rsidRPr="00EA6C30" w:rsidRDefault="00DD3FB8" w:rsidP="00EA6C30">
      <w:pPr>
        <w:spacing w:after="0" w:line="352" w:lineRule="atLeast"/>
        <w:ind w:left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Образец заполнения </w:t>
      </w:r>
      <w:r w:rsidR="00403857"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уведомления об обработке персональных данных</w:t>
      </w:r>
    </w:p>
    <w:tbl>
      <w:tblPr>
        <w:tblW w:w="10632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4394"/>
      </w:tblGrid>
      <w:tr w:rsidR="00DD3FB8" w:rsidRPr="00EA6C30" w:rsidTr="00EA6C30">
        <w:trPr>
          <w:tblCellSpacing w:w="0" w:type="dxa"/>
        </w:trPr>
        <w:tc>
          <w:tcPr>
            <w:tcW w:w="6238" w:type="dxa"/>
            <w:hideMark/>
          </w:tcPr>
          <w:p w:rsidR="00DD3FB8" w:rsidRPr="00EA6C30" w:rsidRDefault="00DD3FB8" w:rsidP="00EA6C30">
            <w:pPr>
              <w:spacing w:before="150" w:after="15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Уведомление оформляется на бланке органа, осуществляющего обработку персональных данных.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Уведомлению присваивается номер и указывается дата составления.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Подаваемый документ (оригинал) обязательно подписывается уполномоченным лицом (руководителем) либо электронной подписью через портал государственных услуг</w:t>
            </w:r>
          </w:p>
        </w:tc>
        <w:tc>
          <w:tcPr>
            <w:tcW w:w="4394" w:type="dxa"/>
            <w:hideMark/>
          </w:tcPr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  массовых коммуникаций по Иркутской  области</w:t>
            </w:r>
          </w:p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С.Е. Костылову</w:t>
            </w:r>
          </w:p>
          <w:p w:rsidR="00DD3FB8" w:rsidRPr="00EA6C30" w:rsidRDefault="00DD3FB8" w:rsidP="00EA6C30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ул. Халтурина, д. 7, а/я 169 </w:t>
            </w: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Иркутск, 664011</w:t>
            </w:r>
          </w:p>
        </w:tc>
      </w:tr>
    </w:tbl>
    <w:p w:rsidR="00DD3FB8" w:rsidRPr="00D53A03" w:rsidRDefault="00DD3FB8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614" w:rsidRPr="00D53A03" w:rsidRDefault="007B346B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hyperlink r:id="rId7" w:history="1">
        <w:r w:rsidR="00DD3FB8" w:rsidRPr="00D53A03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Уведомление об обработке</w:t>
        </w:r>
      </w:hyperlink>
    </w:p>
    <w:p w:rsidR="00DD3FB8" w:rsidRPr="00EA6C30" w:rsidRDefault="00DD3FB8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 намерении осуществлять обработку) персональных данных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5D73" w:rsidRPr="00EA6C30" w:rsidRDefault="00CA61C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</w:p>
    <w:p w:rsidR="00DD3FB8" w:rsidRPr="00816AA2" w:rsidRDefault="00B7061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943634" w:themeColor="accent2" w:themeShade="BF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  <w:t>1. Тип оператора: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92D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Тип оператора: 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лицо/государственный или муниципальный орган/индивидуальный предприниматель/физическое лицо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(указать что-либо одно).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Полное и сокращенное наименования Оператора с указанием организационно-правовой формы:</w:t>
      </w:r>
      <w:r w:rsidR="00E847D7"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Общество с ограниченной ответственностью "Первый" (ООО "Первый")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Фамилия, имя, отчество Оператора: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Индивидуальный предприниматель Иванов Иван Иванович (ИП Иванов И.И.).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5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серия____ № ___ выдан __________ дата выдачи_____________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u w:val="single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заполняется только индивидуальными предпринимателями и физическими лицами)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5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Адрес регистрации: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Иркутская обл., г. Иркутск, ул. Первая, д. 1, оф. 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6C30" w:rsidRPr="00816AA2">
        <w:rPr>
          <w:rFonts w:ascii="Arial" w:eastAsia="Times New Roman" w:hAnsi="Arial" w:cs="Arial"/>
          <w:b/>
          <w:color w:val="FF505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указываются в строгом соответствии со свидетельством о постановке юридического лица на учет в налоговом органе)</w:t>
      </w:r>
      <w:r w:rsidRPr="00816AA2">
        <w:rPr>
          <w:rFonts w:ascii="Arial" w:eastAsia="Times New Roman" w:hAnsi="Arial" w:cs="Arial"/>
          <w:color w:val="FF5050"/>
          <w:sz w:val="24"/>
          <w:szCs w:val="24"/>
          <w:lang w:eastAsia="ru-RU"/>
        </w:rPr>
        <w:t>.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Почтовый адрес: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Иркутская обл., г. Иркутск, а/я 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(если совпадает с адресом регистрации, заполнять не обязательно)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ИНН: 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3800000000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ОГРН: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0000000000000</w:t>
      </w:r>
    </w:p>
    <w:p w:rsidR="00DD3FB8" w:rsidRPr="00EA6C30" w:rsidRDefault="00DD3FB8" w:rsidP="00EA6C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филиала (представительства) юридического лица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(при наличии)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Филиал ООО "Первый", находящийся по адресу: 630000, Новосибирская обл., г. Новосибирск, ул. Новая, д. 1</w:t>
      </w:r>
    </w:p>
    <w:p w:rsidR="00C22ABE" w:rsidRPr="00EA6C30" w:rsidRDefault="00C22ABE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  <w:t>2. Цель обработки персональных данных:</w:t>
      </w:r>
    </w:p>
    <w:p w:rsidR="00837BD4" w:rsidRPr="00816AA2" w:rsidRDefault="00837BD4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Необходимо указать как цели, указанные в учредительных документах (уставе, учредительном договоре,</w:t>
      </w:r>
      <w:r w:rsidR="00E847D7"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положении) оператора, так и цел</w:t>
      </w:r>
      <w:r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 фактически осуществляемой оператором деятельности.</w:t>
      </w:r>
    </w:p>
    <w:p w:rsidR="00837BD4" w:rsidRPr="00EA6C30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«осуществление трудовых взаимоотношений с работниками…»,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«осуществление видов деятельности в соответствии с Уставом…»,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«осуществление полномочий органа власти по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«выполнение государственных функций по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«оказание государственных (муниципальных) услуг по 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«оказание (предоставление) услуг по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«выполнение работ по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оказание услуг в сфере образования/здравоохранения/торговли и др.</w:t>
      </w: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>(т. е. цели, указанные в учредительных документах и цели фактически осуществляемой деятельности)</w:t>
      </w:r>
      <w:r w:rsidRPr="00816AA2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ведение кадровой работы и бухгалтерского учета,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заключение договорных отношений с физическими лицами на оказание услуг и (или) выполнение работ.</w:t>
      </w:r>
    </w:p>
    <w:p w:rsidR="00837BD4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виды деятельности отражаются в общероссийских классификаторах услуг, видов деятельности (ОКВЭД), в правоустанавливающих документах юридического лица и т.д.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3. Категории персональных данных:</w:t>
      </w:r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непосредственно персональные данные: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ИНН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(другие категории персональных данных, подлежащих обработке).</w:t>
      </w:r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специальные категории персональных данных: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остояние здоровья, национальная принадлежность, расовая принадлежность, политические взгляды, религиозные или философские убеждения, состояние интимной жизни.</w:t>
      </w:r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биометрические персональные данные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(сведения, которые характеризируют физиологические особенности человека и на основании которых можно установить его личность).</w:t>
      </w:r>
    </w:p>
    <w:p w:rsidR="00837BD4" w:rsidRPr="00EA6C30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Другие категории персональных данных, такие как: паспортные данные, ИНН, данные СНИЛС, сведения о воинском учете, номер телефона и другие, не присутствующие в указанном списке, необходимо дописать текстом.</w:t>
      </w:r>
    </w:p>
    <w:p w:rsidR="00837BD4" w:rsidRPr="00EA6C30" w:rsidRDefault="00837BD4" w:rsidP="00EA6C30">
      <w:pPr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Недопустимо использовать слова "и т.д.", "и т.п.", "и другие", "анкетные данные", "другая информация". В Уведомлении должен быть исчерпывающий (закрытый) перечень категорий персональных данных.</w:t>
      </w:r>
    </w:p>
    <w:p w:rsidR="00DD3FB8" w:rsidRPr="00EA6C30" w:rsidRDefault="00DD3FB8" w:rsidP="00EA6C30">
      <w:pPr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4. Категории субъектов, персональные данные которых обрабатываются:</w:t>
      </w:r>
    </w:p>
    <w:p w:rsidR="00DD3FB8" w:rsidRPr="00EA6C30" w:rsidRDefault="00DD3FB8" w:rsidP="00816AA2">
      <w:pPr>
        <w:ind w:left="567"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Работники, состоящие в договорных отношениях с ООО "Первый"/ИП Иванова И.И., члены семьи работника,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родственники, кандидаты,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физические лица, получающие услуги от ООО "Первый"/ИП Иванова И.И., а также физические лица, состоящие в гражданско-правовых и иных договорных отношениях с ООО "Первый"/ИП Иванова И.И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физические лица (заказчики; пассажир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ы; налогоплательщики; 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учащиеся, их родители; государственные гражданские 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служащие; обслуживающий персона</w:t>
      </w:r>
      <w:r w:rsidR="00E847D7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); физические лица, обратившиеся в организацию по страхованию имущества; пенсионеры, физические лица находящихся на обслуживании банка (клиенты); законные представители физических и юридических лиц; больные, состоящие на диспансерном учёте по соответствующим диагнозам, медицинский персонал; граждане, имеющие право на меры социальной поддержки, пособия, доплаты к пенсии, ежемесячные денежные выплаты, компенсации и иные выплаты; законные представители физических и юридических лиц.</w:t>
      </w:r>
    </w:p>
    <w:p w:rsidR="00DD3FB8" w:rsidRPr="00816AA2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Необходимо указать категории субъектов (физических лиц) и виды отношений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2 настоящего Образца.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5. Правовое основание: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Ст. 23, 24 Конституции Российской Федерации, ст. 85-90 Трудового кодекса Российской Федерации</w:t>
      </w:r>
      <w:r w:rsidRPr="00816AA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,</w:t>
      </w:r>
      <w:r w:rsidRPr="00816A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также указать 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Устав ООО "Первый", Положение о работе с персональными данными в ООО "Первый"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лицензия № 0000001 от 00.00.0000, выданная ___________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кем выдана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осуществление _________________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(указывается лицензируемый вид деятельности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условий)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6. Перечень действий с персональными данными, общее описание используемых оператором способов обработки персональных данных:</w:t>
      </w:r>
    </w:p>
    <w:p w:rsidR="00DD3FB8" w:rsidRPr="00816AA2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Перечень действий с персональными данными: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 w:rsidR="00A71DC0" w:rsidRPr="00EA6C30">
        <w:rPr>
          <w:sz w:val="24"/>
          <w:szCs w:val="24"/>
        </w:rPr>
        <w:t xml:space="preserve"> </w:t>
      </w:r>
      <w:r w:rsidR="00A71DC0"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Из этого перечня необходимо выбрать только те действия, которые оператор непосредственно совершает с персональными данными</w:t>
      </w:r>
      <w:r w:rsidR="00A71DC0" w:rsidRPr="00816AA2">
        <w:rPr>
          <w:rFonts w:eastAsia="Times New Roman"/>
          <w:b/>
          <w:color w:val="FF0000"/>
          <w:sz w:val="24"/>
          <w:szCs w:val="24"/>
          <w:lang w:eastAsia="ru-RU"/>
        </w:rPr>
        <w:t>.</w:t>
      </w: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Способ обработки персональных данных: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смешанный/автоматизированный/</w:t>
      </w:r>
      <w:r w:rsid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неавтоматизированный</w:t>
      </w:r>
      <w:r w:rsid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</w:p>
    <w:p w:rsidR="00A71DC0" w:rsidRPr="00EA6C30" w:rsidRDefault="00A71DC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Необходимо указать один из способов обработки персональных данных: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исключительно автоматизированная обработка персональных данных (обработка персональных данных с помощью средств вычислительной техники);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смешанная обработка персональных данных (и автоматизированный, и неавтоматизированный способы одновременно).</w:t>
      </w:r>
    </w:p>
    <w:p w:rsidR="00816AA2" w:rsidRPr="00816AA2" w:rsidRDefault="00816AA2" w:rsidP="00816AA2">
      <w:pPr>
        <w:pStyle w:val="a9"/>
        <w:spacing w:after="0" w:line="240" w:lineRule="auto"/>
        <w:ind w:left="128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D3FB8" w:rsidRDefault="00DD3FB8" w:rsidP="00816AA2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 обработке персональных данных информация: передается/не передается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одно)</w:t>
      </w:r>
      <w:r w:rsid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внутренней сети юридического лица (информация доступна лишь для строго определенных сотрудников юридического лица), информация передается/не передается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одно)</w:t>
      </w:r>
      <w:r w:rsid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использованием сети общего пользования Интернет.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7. Для обеспечения безопасности персональных данных применяются следующие меры (описание мер, предусмотренных ст. 18.1 и 19 Федерального закона от 27.07.2006 № 152-ФЗ «О персональных данных»):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Разработано и утверждено Положение об обработке персональных данных в ООО «Первый». Приказом № 1 от 01.01.01 назначено лицо, ответственное за организацию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Средства обеспечения безопасности: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</w:t>
      </w:r>
      <w:r w:rsidR="00816A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наименование, версия, № лицензионного соглашения)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6 настоящего Образца.)</w:t>
      </w:r>
    </w:p>
    <w:p w:rsidR="00DD3FB8" w:rsidRPr="00EA6C30" w:rsidRDefault="00DD3FB8" w:rsidP="00816AA2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Сведения о наличии шифровальных (криптографических) средств и наименования этих средств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используется/ используется «КриптоПро CSP 2.0», ООО «Крипто-Про», регистрационный номер № 0000001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а) наименование, регистрационные номера и производителей используемых криптографических средств;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б) уровень криптографической защиты персональных данных;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в) уровень специальной защиты от утечки по каналам побочных излучений и наводок;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г) уровень защиты от несанкционированного доступа. Предоставление данной информации осуществляется в соответствии с Методическими рекомендациями по обеспечению с помощью крипто</w:t>
      </w:r>
      <w:r w:rsidR="000445C7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21 февраля 2008 г. № 149/5-144).</w:t>
      </w:r>
    </w:p>
    <w:p w:rsid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AA2" w:rsidRPr="00EA6C30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7.1.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Иванов Иван Иванович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«Второй»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(указывается сторонняя организация, являющаяся ответственной за организацию обработки персональных данных у Оператора, сам Оператор не может быть указан)</w:t>
      </w:r>
    </w:p>
    <w:p w:rsidR="00A71DC0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г. Иркутск, а/я 000, тел. 00-00-00, iii@mail.ru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(указываются рабочие контактные данные).</w:t>
      </w:r>
    </w:p>
    <w:p w:rsidR="00FC3933" w:rsidRPr="00816AA2" w:rsidRDefault="00FC3933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НЕОБХОДИМО УКАЗАТЬ ЛИБО НАИМЕНОВАНИЕ И КОНТАКТНЫЕ ДАННЫЕ ИНОГО ЮРИДИЧЕСКОГО ЛИЦА, ЛИБО ФАМИЛИЮ, ИМЯ, ОТЧЕСТВО ВАШЕГО СОТРУДНИКА, ОТВЕТСТВЕННЫХ ЗА ОРГАНИЗАЦИЮ ОБРАБОТКИ ПЕРСОНАЛЬНЫХ ДА</w:t>
      </w:r>
      <w:r w:rsidR="000445C7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ННЫХ, А ТАКЖЕ КОНТАКТНЫЕ ДАННЫЕ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8. Дата начала обработки персональных данных:</w:t>
      </w: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16 октября 1998 года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(дата постановки на учет в налоговом органе).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9. Срок или условие прекращения обработки персональных данных: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Прекращение деятельности ООО "Первый", ликвидация ООО "Первый", реорганизация ООО "Первый"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истечение срока хранения предусмотренного законом, договором или согласием субъекта пдн на обработку его пдн, отзыв субъектом пдн (или его представителя) согласия на обработку его пдн с учетом достижения условий, предусмотренных ст. 21 ФЗ «О персональных данных».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 Трансграничная передача персональных данных: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осуществляется/осуществляется в США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одно, в случае трансграничной передачи указывается перечень иностранных государств, на территорию которых осуществляется трансграничная передача персональных данных).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10.1 Сведения о месте нахождения базы данных, содержащей персональные данные граждан Российской Федерации: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Россия, 664000, Иркутская обл., г. Иркутск, ул. Первая, д. 1, оф. 1</w:t>
      </w:r>
      <w:r w:rsidR="00862002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собственный ЦОД, Наименование ИС: «1С:Зарплата и Кадры»</w:t>
      </w:r>
      <w:r w:rsidR="00862002"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="00862002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(указываются: страна (страны) размещения базы данных, конкретный адрес (адреса) местонахождения базы данных, собственный ЦОД (да/нет), наименование информационной системы (базы данных).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11.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</w:p>
    <w:p w:rsidR="00AE5EC0" w:rsidRPr="00816AA2" w:rsidRDefault="00AE5EC0" w:rsidP="00816AA2">
      <w:pPr>
        <w:pStyle w:val="consplusnonformat"/>
        <w:spacing w:before="0" w:beforeAutospacing="0" w:after="0" w:afterAutospacing="0"/>
        <w:ind w:left="567" w:firstLine="567"/>
        <w:jc w:val="both"/>
        <w:rPr>
          <w:rFonts w:ascii="Arial" w:hAnsi="Arial" w:cs="Arial"/>
          <w:b/>
          <w:bCs/>
          <w:color w:val="FF0000"/>
        </w:rPr>
      </w:pPr>
      <w:r w:rsidRPr="00816AA2">
        <w:rPr>
          <w:rFonts w:ascii="Arial" w:hAnsi="Arial" w:cs="Arial"/>
          <w:b/>
          <w:bCs/>
          <w:color w:val="FF0000"/>
        </w:rPr>
        <w:t xml:space="preserve">Необходимо указать сведения о мерах принятых юридическим </w:t>
      </w:r>
      <w:r w:rsidR="000445C7" w:rsidRPr="00816AA2">
        <w:rPr>
          <w:rFonts w:ascii="Arial" w:hAnsi="Arial" w:cs="Arial"/>
          <w:b/>
          <w:bCs/>
          <w:color w:val="FF0000"/>
        </w:rPr>
        <w:t>лицом,</w:t>
      </w:r>
      <w:r w:rsidRPr="00816AA2">
        <w:rPr>
          <w:rFonts w:ascii="Arial" w:hAnsi="Arial" w:cs="Arial"/>
          <w:b/>
          <w:bCs/>
          <w:color w:val="FF0000"/>
        </w:rPr>
        <w:t xml:space="preserve"> в целях исполнения требований установленных Постановлением Правительства РФ от 15 сентября </w:t>
      </w:r>
      <w:smartTag w:uri="urn:schemas-microsoft-com:office:smarttags" w:element="metricconverter">
        <w:smartTagPr>
          <w:attr w:name="ProductID" w:val="2008 г"/>
        </w:smartTagPr>
        <w:r w:rsidRPr="00816AA2">
          <w:rPr>
            <w:rFonts w:ascii="Arial" w:hAnsi="Arial" w:cs="Arial"/>
            <w:b/>
            <w:bCs/>
            <w:color w:val="FF0000"/>
          </w:rPr>
          <w:t>2008 г</w:t>
        </w:r>
      </w:smartTag>
      <w:r w:rsidRPr="00816AA2">
        <w:rPr>
          <w:rFonts w:ascii="Arial" w:hAnsi="Arial" w:cs="Arial"/>
          <w:b/>
          <w:bCs/>
          <w:color w:val="FF0000"/>
        </w:rPr>
        <w:t>. N 687 "Об утверждении Положения об особенностях обработки персональных данных, осуществляемой без использования средств автоматизации" и Постановлением Правительства РФ</w:t>
      </w:r>
      <w:r w:rsidR="009D784B" w:rsidRPr="00816AA2">
        <w:rPr>
          <w:rFonts w:ascii="Arial" w:hAnsi="Arial" w:cs="Arial"/>
          <w:b/>
          <w:bCs/>
          <w:color w:val="FF0000"/>
        </w:rPr>
        <w:t xml:space="preserve"> от 01 ноября 2012 г. N 1119</w:t>
      </w:r>
      <w:r w:rsidRPr="00816AA2">
        <w:rPr>
          <w:rFonts w:ascii="Arial" w:hAnsi="Arial" w:cs="Arial"/>
          <w:b/>
          <w:bCs/>
          <w:color w:val="FF0000"/>
        </w:rPr>
        <w:t xml:space="preserve"> "</w:t>
      </w:r>
      <w:r w:rsidR="00986B89" w:rsidRPr="00816AA2">
        <w:rPr>
          <w:rFonts w:ascii="Arial" w:hAnsi="Arial" w:cs="Arial"/>
          <w:b/>
          <w:bCs/>
          <w:color w:val="FF0000"/>
        </w:rPr>
        <w:t>Об утверждении требований к</w:t>
      </w:r>
      <w:r w:rsidR="009D784B" w:rsidRPr="00816AA2">
        <w:rPr>
          <w:rFonts w:ascii="Arial" w:hAnsi="Arial" w:cs="Arial"/>
          <w:b/>
          <w:bCs/>
          <w:color w:val="FF0000"/>
        </w:rPr>
        <w:t xml:space="preserve"> защите персональных данных при их обработке </w:t>
      </w:r>
      <w:r w:rsidR="00986B89" w:rsidRPr="00816AA2">
        <w:rPr>
          <w:rFonts w:ascii="Arial" w:hAnsi="Arial" w:cs="Arial"/>
          <w:b/>
          <w:bCs/>
          <w:color w:val="FF0000"/>
        </w:rPr>
        <w:t>в информационных системах персональных данных»</w:t>
      </w:r>
      <w:r w:rsidRPr="00816AA2">
        <w:rPr>
          <w:rFonts w:ascii="Arial" w:hAnsi="Arial" w:cs="Arial"/>
          <w:b/>
          <w:bCs/>
          <w:color w:val="FF0000"/>
        </w:rPr>
        <w:t>".</w:t>
      </w:r>
    </w:p>
    <w:p w:rsidR="00AE5EC0" w:rsidRDefault="00DD3FB8" w:rsidP="00816AA2">
      <w:pPr>
        <w:spacing w:after="0" w:line="240" w:lineRule="auto"/>
        <w:ind w:left="567"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 w:rsidR="00AE5E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AE5EC0" w:rsidRPr="00EA6C30">
        <w:rPr>
          <w:rFonts w:ascii="Arial" w:hAnsi="Arial" w:cs="Arial"/>
          <w:i/>
          <w:iCs/>
          <w:color w:val="000000"/>
          <w:sz w:val="24"/>
          <w:szCs w:val="24"/>
        </w:rPr>
        <w:t>Лица, осуществляющие обработку ПДн без использования средств автоматизации проинформированы о факте обработки ими персональных данных, а так же об особенностях и правилах</w:t>
      </w:r>
      <w:r w:rsidR="00EA6C30">
        <w:rPr>
          <w:rFonts w:ascii="Arial" w:hAnsi="Arial" w:cs="Arial"/>
          <w:i/>
          <w:iCs/>
          <w:color w:val="000000"/>
          <w:sz w:val="24"/>
          <w:szCs w:val="24"/>
        </w:rPr>
        <w:t xml:space="preserve"> осуществления такой обработки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12. Территория обработки:</w:t>
      </w:r>
    </w:p>
    <w:p w:rsidR="00AE5EC0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ООО "Первый" осуществляет свою деятельность на территории Иркутской области.</w:t>
      </w:r>
    </w:p>
    <w:p w:rsidR="00633CF5" w:rsidRPr="00EA6C30" w:rsidRDefault="00633CF5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Указанное уведомление должно быть направлено в письменной форме и подписано уполномоченным лицом или направлено в электронной форме через портал государственных услуг и подписано электронной подписью в соответствии с законодательством Российской Федерации.</w:t>
      </w:r>
    </w:p>
    <w:p w:rsidR="00FC3933" w:rsidRPr="00EA6C30" w:rsidRDefault="00FC3933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B448A0" w:rsidRPr="00EA6C30" w:rsidRDefault="00B448A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Уполномоченным лицом является: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должностное лицо, имеющий право на основании устава действовать от имени юридического лица без доверенности (генеральный директор, директор, президент, управляющий);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руководитель, начальник, действующие на основании положения;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представитель юридического лица, действующий на основании доверенности, в которой содержится соответствующее полномочие. В этом случае к уведомлению необходимо приложить документ, подтверждающий полномочия лица на подписание документов.</w:t>
      </w:r>
    </w:p>
    <w:p w:rsidR="00B26ECD" w:rsidRPr="00EA6C30" w:rsidRDefault="00B26ECD" w:rsidP="00EA6C30">
      <w:pPr>
        <w:spacing w:after="0" w:line="240" w:lineRule="auto"/>
        <w:ind w:left="567"/>
        <w:rPr>
          <w:sz w:val="24"/>
          <w:szCs w:val="24"/>
        </w:rPr>
      </w:pPr>
    </w:p>
    <w:sectPr w:rsidR="00B26ECD" w:rsidRPr="00EA6C30" w:rsidSect="00931918">
      <w:pgSz w:w="11906" w:h="16838"/>
      <w:pgMar w:top="567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6B" w:rsidRDefault="007B346B" w:rsidP="00EA5565">
      <w:pPr>
        <w:spacing w:after="0" w:line="240" w:lineRule="auto"/>
      </w:pPr>
      <w:r>
        <w:separator/>
      </w:r>
    </w:p>
  </w:endnote>
  <w:endnote w:type="continuationSeparator" w:id="0">
    <w:p w:rsidR="007B346B" w:rsidRDefault="007B346B" w:rsidP="00EA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6B" w:rsidRDefault="007B346B" w:rsidP="00EA5565">
      <w:pPr>
        <w:spacing w:after="0" w:line="240" w:lineRule="auto"/>
      </w:pPr>
      <w:r>
        <w:separator/>
      </w:r>
    </w:p>
  </w:footnote>
  <w:footnote w:type="continuationSeparator" w:id="0">
    <w:p w:rsidR="007B346B" w:rsidRDefault="007B346B" w:rsidP="00EA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3B"/>
    <w:multiLevelType w:val="hybridMultilevel"/>
    <w:tmpl w:val="6316AD4E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8D4822"/>
    <w:multiLevelType w:val="hybridMultilevel"/>
    <w:tmpl w:val="1156680A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B3CED"/>
    <w:multiLevelType w:val="hybridMultilevel"/>
    <w:tmpl w:val="1E10C0A0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1870D4"/>
    <w:multiLevelType w:val="hybridMultilevel"/>
    <w:tmpl w:val="98D0D44A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5E2CB5"/>
    <w:multiLevelType w:val="hybridMultilevel"/>
    <w:tmpl w:val="9F446406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4D36AD"/>
    <w:multiLevelType w:val="hybridMultilevel"/>
    <w:tmpl w:val="AB043856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8"/>
    <w:rsid w:val="000445C7"/>
    <w:rsid w:val="00077B19"/>
    <w:rsid w:val="000D194D"/>
    <w:rsid w:val="000D4CB8"/>
    <w:rsid w:val="000F5D73"/>
    <w:rsid w:val="001102AB"/>
    <w:rsid w:val="00235884"/>
    <w:rsid w:val="00343D30"/>
    <w:rsid w:val="003B159B"/>
    <w:rsid w:val="00403857"/>
    <w:rsid w:val="00633CF5"/>
    <w:rsid w:val="007B346B"/>
    <w:rsid w:val="00816AA2"/>
    <w:rsid w:val="00837BD4"/>
    <w:rsid w:val="00862002"/>
    <w:rsid w:val="00931918"/>
    <w:rsid w:val="00986B89"/>
    <w:rsid w:val="009D784B"/>
    <w:rsid w:val="00A71DC0"/>
    <w:rsid w:val="00AE5EC0"/>
    <w:rsid w:val="00B26ECD"/>
    <w:rsid w:val="00B448A0"/>
    <w:rsid w:val="00B476AD"/>
    <w:rsid w:val="00B70614"/>
    <w:rsid w:val="00B83421"/>
    <w:rsid w:val="00BD2A79"/>
    <w:rsid w:val="00C22ABE"/>
    <w:rsid w:val="00C45A01"/>
    <w:rsid w:val="00CA25F4"/>
    <w:rsid w:val="00CA61C8"/>
    <w:rsid w:val="00D53A03"/>
    <w:rsid w:val="00DC4609"/>
    <w:rsid w:val="00DD3FB8"/>
    <w:rsid w:val="00E847D7"/>
    <w:rsid w:val="00EA5565"/>
    <w:rsid w:val="00EA6C30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346CC3-4308-443B-B7D4-F71D85D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1DC0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A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565"/>
  </w:style>
  <w:style w:type="paragraph" w:styleId="a5">
    <w:name w:val="footer"/>
    <w:basedOn w:val="a"/>
    <w:link w:val="a6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565"/>
  </w:style>
  <w:style w:type="paragraph" w:styleId="a7">
    <w:name w:val="Balloon Text"/>
    <w:basedOn w:val="a"/>
    <w:link w:val="a8"/>
    <w:uiPriority w:val="99"/>
    <w:semiHidden/>
    <w:unhideWhenUsed/>
    <w:rsid w:val="00C2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470781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rkn.gov.ru/docs/38/2015_OKTJABR6_Uvedomlenie_oformljaetsja_na_blanke_orga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</cp:lastModifiedBy>
  <cp:revision>2</cp:revision>
  <cp:lastPrinted>2017-02-01T08:44:00Z</cp:lastPrinted>
  <dcterms:created xsi:type="dcterms:W3CDTF">2017-03-28T13:41:00Z</dcterms:created>
  <dcterms:modified xsi:type="dcterms:W3CDTF">2017-03-28T13:41:00Z</dcterms:modified>
</cp:coreProperties>
</file>