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0F" w:rsidRDefault="0089440F" w:rsidP="0089440F">
      <w:pPr>
        <w:pStyle w:val="2"/>
        <w:rPr>
          <w:sz w:val="20"/>
          <w:szCs w:val="20"/>
        </w:rPr>
      </w:pPr>
      <w:bookmarkStart w:id="0" w:name="_GoBack"/>
      <w:r>
        <w:rPr>
          <w:sz w:val="20"/>
          <w:szCs w:val="20"/>
        </w:rPr>
        <w:t xml:space="preserve">Статья 258. Амортизационные группы (подгруппы). </w:t>
      </w:r>
      <w:bookmarkEnd w:id="0"/>
      <w:r>
        <w:rPr>
          <w:sz w:val="20"/>
          <w:szCs w:val="20"/>
        </w:rPr>
        <w:t>Особенности включения амортизируемого имущества в состав амортизационных групп (подгрупп)</w:t>
      </w:r>
    </w:p>
    <w:p w:rsidR="0089440F" w:rsidRDefault="0089440F" w:rsidP="0089440F">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прибыль организаций" w:history="1">
        <w:r>
          <w:rPr>
            <w:rStyle w:val="a3"/>
            <w:b/>
            <w:bCs/>
            <w:color w:val="707070"/>
            <w:sz w:val="20"/>
            <w:szCs w:val="20"/>
            <w:u w:val="none"/>
          </w:rPr>
          <w:t>[Глава 25]</w:t>
        </w:r>
      </w:hyperlink>
      <w:r>
        <w:rPr>
          <w:rStyle w:val="apple-converted-space"/>
        </w:rPr>
        <w:t> </w:t>
      </w:r>
      <w:hyperlink r:id="rId6" w:tooltip="Амортизационные группы (подгруппы). Особенности включения амортизируемого имущества в состав амортизационных групп (подгрупп)" w:history="1">
        <w:r>
          <w:rPr>
            <w:rStyle w:val="a3"/>
            <w:b/>
            <w:bCs/>
            <w:color w:val="707070"/>
            <w:sz w:val="20"/>
            <w:szCs w:val="20"/>
            <w:u w:val="none"/>
          </w:rPr>
          <w:t>[Статья 258]</w:t>
        </w:r>
      </w:hyperlink>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 классификации основных средств, утверждаемой Правительством Российской Федерации.</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модернизации или технического перевооружения такого объекта увеличился срок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в арендованные объекты основных средств, указанные в абзаце первом пункта 1 статьи 256 настоящего Кодекса, амортизируются в следующем порядке:</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стоимость которых возмещается арендатору арендодателем, амортизируются арендодателем в порядке, установленном настоящей главой;</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рассчитанных с учетом срока полезного использования, определяемого для арендованных объектов основных средств или для капитальных вложений в указанные объекты в соответствии с классификацией основных средств, утверждаемой Правительством Российской Федерации.</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в объекты основных средств, полученные по договору безвозмездного пользования, указанные в абзаце первом пункта 1 статьи 256 настоящего Кодекса, амортизируются в следующем порядке:</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стоимость которых возмещается организации-ссудополучателю организацией-ссудодателем, амортизируются организацией-ссудодателем в порядке, установленном настоящей главой;</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капитальные вложения, произведенные организацией-ссудополучателем с согласия организации-ссудодателя, стоимость которых не возмещается организацией-ссудодателем, амортизируются организацией-ссудополучателем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для полученных объектов основных средств или для капитальных вложений в указанные объекты в соответствии с классификацией основных средств, утверждаемой Правительством Российской Федерации.</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 налогоплательщика).</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По нематериальным активам, указанным в подпунктах 1 - 3, 5 - 7 абзаца третьего пункта 3 статьи 257 настоящего Кодекса, налогоплательщик вправе самостоятельно определить срок полезного использования, который не может быть менее двух лет.</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Амортизируемое имущество объединяется в следующие амортизационные группы:</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первая группа - все недолговечное имущество со сроком полезного использования от 1 года до 2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вторая группа - имущество со сроком полезного использования свыше 2 лет до 3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третья группа - имущество со сроком полезного использования свыше 3 лет до 5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четвертая группа - имущество со сроком полезного использования свыше 5 лет до 7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пятая группа - имущество со сроком полезного использования свыше 7 лет до 10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шестая группа - имущество со сроком полезного использования свыше 10 лет до 15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седьмая группа - имущество со сроком полезного использования свыше 15 лет до 20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восьмая группа - имущество со сроком полезного использования свыше 20 лет до 25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девятая группа - имущество со сроком полезного использования свыше 25 лет до 30 лет включительно;</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десятая группа - имущество со сроком полезного использования свыше 30 лет.</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Классификация основных средств, включаемых в амортизационные группы, утверждается Правительством Российской Федерации.</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Нематериальные активы включаются в амортизационные группы исходя из срока полезного использования, определенного в соответствии с пунктом 2 настоящей статьи.</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классификацией основных средств, утвержденной Правительством Российской Федерации в соответствии с настоящей главой,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По объектам амортизируемого имущества, указанным в абзаце первом пункта 3 статьи 259 настоящего Кодекса, амортизация начисляется отдельно по каждому объекту имущества в соответствии со сроком его полезного использования в порядке, установленном настоящей главой.</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целях настоящей главы амортизируемое имущество принимается на учет по первоначальной стоимости, определяемой в соответствии со статьей 257 настоящего Кодекса, если иное не предусмотрено настоящей главой.</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имеет право 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настоящего Кодекса.</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налогоплательщик использует указанное право, соответствующие объекты основных средств после их ввода в эксплуатацию включаются в амортизационные группы (подгруппы) по своей первоначальной стоимости за вычетом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отнесенных в состав расходов отчетного (налогового) периода, а суммы, на которые изменяется первоначальная стоимость объектов в случаях достройки, дооборудования, реконструкции, модернизации, технического перевооружения, частичной ликвидации объектов, учитываются в суммарном балансе амортизационных групп (подгрупп) (изменяют первоначальную стоимость объектов, амортизация по которым начисляется линейным методом в соответствии со статьей 259 настоящего Кодекса) за вычетом не более 10 процентов (не более 30 процентов - в отношении основных средств, относящихся к третьей - седьмой амортизационным группам) таких сумм.</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основное средство, в отношении которого были применены положения абзаца второго настоящего пункта, реализовано ранее чем по истечении пяти лет с момента введения его в эксплуатацию лицу, являющемуся взаимозависимым с налогоплательщиком, суммы расходов, ранее включенных в состав расходов очередного отчетного (налогового) периода в соответствии с абзацем вторым настоящего пункта, подлежат включению в состав внереализационных доходов в том отчетном (налоговом) периоде, в котором была осуществлена такая реализация.</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Имущество, полученное (переданное) в финансовую аренду по договору финансовой аренды (договору лизинга), включается в соответствующую амортизационную группу (подгруппу) той стороной, у которой данное имущество должно учитываться в соответствии с условиями договора финансовой аренды (договора лизинга).</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Утратил силу.</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Если организация, установившая в своей учетной политике применение нелинейного метода амортизации, применяет к нормам амортизации повышающие (понижающие) коэффициенты в соответствии со статьей 259.3 настоящего Кодекса и (или) осуществляет расходы на научные исследования и (или) опытно-конструкторские разработки, предусмотренные подпунктом 1 пункта 2 статьи 262 настоящего Кодекса, объекты амортизируемого имущества, к которым применяются такие коэффициенты, а также объекты амортизируемого имущества, используемые для выполнения научных исследований и (или) опытно-конструкторских разработок, формируют подгруппу в составе амортизационной группы и учет таких амортизационных групп и подгрупп ведется отдельно. Все правила создания или ликвидации группы, увеличения или уменьшения суммарного баланса группы распространяются на такие подгруппы, и к ним применяется норма амортизации, уточненная с помощью повышающего (понижающего) коэффициента.</w:t>
      </w:r>
    </w:p>
    <w:p w:rsidR="0089440F" w:rsidRDefault="0089440F" w:rsidP="008944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Применение к нормам амортизации объектов амортизируемого имущества повышающих (понижающих) коэффициентов влечет за собой соответствующее сокращение (увеличение) срока полезного использования таких объектов. При этом амортизационные подгруппы по объектам амортизируемого имущества, к нормам амортизации которых применяются повышающие (понижающие) коэффициенты, формируются в составе амортизационной группы исходя из определенного классификацией основных средств, утвержденной Правительством Российской Федерации, срока полезного использования без учета его увеличения (уменьшения).</w:t>
      </w:r>
    </w:p>
    <w:p w:rsidR="00A25835" w:rsidRPr="0089440F" w:rsidRDefault="00A25835" w:rsidP="0089440F"/>
    <w:sectPr w:rsidR="00A25835" w:rsidRPr="00894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9"/>
    <w:rsid w:val="0004417B"/>
    <w:rsid w:val="00251AB6"/>
    <w:rsid w:val="00267B00"/>
    <w:rsid w:val="002C1F15"/>
    <w:rsid w:val="00351569"/>
    <w:rsid w:val="003F1C60"/>
    <w:rsid w:val="0040695D"/>
    <w:rsid w:val="004E5919"/>
    <w:rsid w:val="008659E9"/>
    <w:rsid w:val="0089440F"/>
    <w:rsid w:val="008A40A5"/>
    <w:rsid w:val="00A25835"/>
    <w:rsid w:val="00A53325"/>
    <w:rsid w:val="00A75538"/>
    <w:rsid w:val="00AD3070"/>
    <w:rsid w:val="00B31CFE"/>
    <w:rsid w:val="00C56A85"/>
    <w:rsid w:val="00D165D3"/>
    <w:rsid w:val="00D4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9488-7190-4B88-A9B3-BEAEA3F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9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695D"/>
    <w:rPr>
      <w:color w:val="0000FF"/>
      <w:u w:val="single"/>
    </w:rPr>
  </w:style>
  <w:style w:type="character" w:customStyle="1" w:styleId="apple-converted-space">
    <w:name w:val="apple-converted-space"/>
    <w:basedOn w:val="a0"/>
    <w:rsid w:val="0040695D"/>
  </w:style>
  <w:style w:type="paragraph" w:styleId="a4">
    <w:name w:val="Normal (Web)"/>
    <w:basedOn w:val="a"/>
    <w:uiPriority w:val="99"/>
    <w:semiHidden/>
    <w:unhideWhenUsed/>
    <w:rsid w:val="00406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743">
      <w:bodyDiv w:val="1"/>
      <w:marLeft w:val="0"/>
      <w:marRight w:val="0"/>
      <w:marTop w:val="0"/>
      <w:marBottom w:val="0"/>
      <w:divBdr>
        <w:top w:val="none" w:sz="0" w:space="0" w:color="auto"/>
        <w:left w:val="none" w:sz="0" w:space="0" w:color="auto"/>
        <w:bottom w:val="none" w:sz="0" w:space="0" w:color="auto"/>
        <w:right w:val="none" w:sz="0" w:space="0" w:color="auto"/>
      </w:divBdr>
      <w:divsChild>
        <w:div w:id="127668709">
          <w:marLeft w:val="0"/>
          <w:marRight w:val="0"/>
          <w:marTop w:val="0"/>
          <w:marBottom w:val="0"/>
          <w:divBdr>
            <w:top w:val="none" w:sz="0" w:space="0" w:color="auto"/>
            <w:left w:val="none" w:sz="0" w:space="0" w:color="auto"/>
            <w:bottom w:val="none" w:sz="0" w:space="0" w:color="auto"/>
            <w:right w:val="none" w:sz="0" w:space="0" w:color="auto"/>
          </w:divBdr>
        </w:div>
        <w:div w:id="373309358">
          <w:marLeft w:val="0"/>
          <w:marRight w:val="0"/>
          <w:marTop w:val="0"/>
          <w:marBottom w:val="0"/>
          <w:divBdr>
            <w:top w:val="none" w:sz="0" w:space="0" w:color="auto"/>
            <w:left w:val="none" w:sz="0" w:space="0" w:color="auto"/>
            <w:bottom w:val="none" w:sz="0" w:space="0" w:color="auto"/>
            <w:right w:val="none" w:sz="0" w:space="0" w:color="auto"/>
          </w:divBdr>
        </w:div>
      </w:divsChild>
    </w:div>
    <w:div w:id="110906812">
      <w:bodyDiv w:val="1"/>
      <w:marLeft w:val="0"/>
      <w:marRight w:val="0"/>
      <w:marTop w:val="0"/>
      <w:marBottom w:val="0"/>
      <w:divBdr>
        <w:top w:val="none" w:sz="0" w:space="0" w:color="auto"/>
        <w:left w:val="none" w:sz="0" w:space="0" w:color="auto"/>
        <w:bottom w:val="none" w:sz="0" w:space="0" w:color="auto"/>
        <w:right w:val="none" w:sz="0" w:space="0" w:color="auto"/>
      </w:divBdr>
      <w:divsChild>
        <w:div w:id="1251040679">
          <w:marLeft w:val="0"/>
          <w:marRight w:val="0"/>
          <w:marTop w:val="0"/>
          <w:marBottom w:val="0"/>
          <w:divBdr>
            <w:top w:val="none" w:sz="0" w:space="0" w:color="auto"/>
            <w:left w:val="none" w:sz="0" w:space="0" w:color="auto"/>
            <w:bottom w:val="none" w:sz="0" w:space="0" w:color="auto"/>
            <w:right w:val="none" w:sz="0" w:space="0" w:color="auto"/>
          </w:divBdr>
        </w:div>
        <w:div w:id="1815023984">
          <w:marLeft w:val="0"/>
          <w:marRight w:val="0"/>
          <w:marTop w:val="0"/>
          <w:marBottom w:val="0"/>
          <w:divBdr>
            <w:top w:val="none" w:sz="0" w:space="0" w:color="auto"/>
            <w:left w:val="none" w:sz="0" w:space="0" w:color="auto"/>
            <w:bottom w:val="none" w:sz="0" w:space="0" w:color="auto"/>
            <w:right w:val="none" w:sz="0" w:space="0" w:color="auto"/>
          </w:divBdr>
        </w:div>
      </w:divsChild>
    </w:div>
    <w:div w:id="227225117">
      <w:bodyDiv w:val="1"/>
      <w:marLeft w:val="0"/>
      <w:marRight w:val="0"/>
      <w:marTop w:val="0"/>
      <w:marBottom w:val="0"/>
      <w:divBdr>
        <w:top w:val="none" w:sz="0" w:space="0" w:color="auto"/>
        <w:left w:val="none" w:sz="0" w:space="0" w:color="auto"/>
        <w:bottom w:val="none" w:sz="0" w:space="0" w:color="auto"/>
        <w:right w:val="none" w:sz="0" w:space="0" w:color="auto"/>
      </w:divBdr>
      <w:divsChild>
        <w:div w:id="268389975">
          <w:marLeft w:val="0"/>
          <w:marRight w:val="0"/>
          <w:marTop w:val="0"/>
          <w:marBottom w:val="0"/>
          <w:divBdr>
            <w:top w:val="none" w:sz="0" w:space="0" w:color="auto"/>
            <w:left w:val="none" w:sz="0" w:space="0" w:color="auto"/>
            <w:bottom w:val="none" w:sz="0" w:space="0" w:color="auto"/>
            <w:right w:val="none" w:sz="0" w:space="0" w:color="auto"/>
          </w:divBdr>
        </w:div>
        <w:div w:id="1903326660">
          <w:marLeft w:val="0"/>
          <w:marRight w:val="0"/>
          <w:marTop w:val="0"/>
          <w:marBottom w:val="0"/>
          <w:divBdr>
            <w:top w:val="none" w:sz="0" w:space="0" w:color="auto"/>
            <w:left w:val="none" w:sz="0" w:space="0" w:color="auto"/>
            <w:bottom w:val="none" w:sz="0" w:space="0" w:color="auto"/>
            <w:right w:val="none" w:sz="0" w:space="0" w:color="auto"/>
          </w:divBdr>
        </w:div>
      </w:divsChild>
    </w:div>
    <w:div w:id="432626036">
      <w:bodyDiv w:val="1"/>
      <w:marLeft w:val="0"/>
      <w:marRight w:val="0"/>
      <w:marTop w:val="0"/>
      <w:marBottom w:val="0"/>
      <w:divBdr>
        <w:top w:val="none" w:sz="0" w:space="0" w:color="auto"/>
        <w:left w:val="none" w:sz="0" w:space="0" w:color="auto"/>
        <w:bottom w:val="none" w:sz="0" w:space="0" w:color="auto"/>
        <w:right w:val="none" w:sz="0" w:space="0" w:color="auto"/>
      </w:divBdr>
      <w:divsChild>
        <w:div w:id="924992054">
          <w:marLeft w:val="0"/>
          <w:marRight w:val="0"/>
          <w:marTop w:val="0"/>
          <w:marBottom w:val="0"/>
          <w:divBdr>
            <w:top w:val="none" w:sz="0" w:space="0" w:color="auto"/>
            <w:left w:val="none" w:sz="0" w:space="0" w:color="auto"/>
            <w:bottom w:val="none" w:sz="0" w:space="0" w:color="auto"/>
            <w:right w:val="none" w:sz="0" w:space="0" w:color="auto"/>
          </w:divBdr>
        </w:div>
        <w:div w:id="945697286">
          <w:marLeft w:val="0"/>
          <w:marRight w:val="0"/>
          <w:marTop w:val="0"/>
          <w:marBottom w:val="0"/>
          <w:divBdr>
            <w:top w:val="none" w:sz="0" w:space="0" w:color="auto"/>
            <w:left w:val="none" w:sz="0" w:space="0" w:color="auto"/>
            <w:bottom w:val="none" w:sz="0" w:space="0" w:color="auto"/>
            <w:right w:val="none" w:sz="0" w:space="0" w:color="auto"/>
          </w:divBdr>
        </w:div>
      </w:divsChild>
    </w:div>
    <w:div w:id="814689464">
      <w:bodyDiv w:val="1"/>
      <w:marLeft w:val="0"/>
      <w:marRight w:val="0"/>
      <w:marTop w:val="0"/>
      <w:marBottom w:val="0"/>
      <w:divBdr>
        <w:top w:val="none" w:sz="0" w:space="0" w:color="auto"/>
        <w:left w:val="none" w:sz="0" w:space="0" w:color="auto"/>
        <w:bottom w:val="none" w:sz="0" w:space="0" w:color="auto"/>
        <w:right w:val="none" w:sz="0" w:space="0" w:color="auto"/>
      </w:divBdr>
      <w:divsChild>
        <w:div w:id="1757096241">
          <w:marLeft w:val="0"/>
          <w:marRight w:val="0"/>
          <w:marTop w:val="0"/>
          <w:marBottom w:val="0"/>
          <w:divBdr>
            <w:top w:val="none" w:sz="0" w:space="0" w:color="auto"/>
            <w:left w:val="none" w:sz="0" w:space="0" w:color="auto"/>
            <w:bottom w:val="none" w:sz="0" w:space="0" w:color="auto"/>
            <w:right w:val="none" w:sz="0" w:space="0" w:color="auto"/>
          </w:divBdr>
        </w:div>
        <w:div w:id="1498686161">
          <w:marLeft w:val="0"/>
          <w:marRight w:val="0"/>
          <w:marTop w:val="0"/>
          <w:marBottom w:val="0"/>
          <w:divBdr>
            <w:top w:val="none" w:sz="0" w:space="0" w:color="auto"/>
            <w:left w:val="none" w:sz="0" w:space="0" w:color="auto"/>
            <w:bottom w:val="none" w:sz="0" w:space="0" w:color="auto"/>
            <w:right w:val="none" w:sz="0" w:space="0" w:color="auto"/>
          </w:divBdr>
        </w:div>
      </w:divsChild>
    </w:div>
    <w:div w:id="1048870529">
      <w:bodyDiv w:val="1"/>
      <w:marLeft w:val="0"/>
      <w:marRight w:val="0"/>
      <w:marTop w:val="0"/>
      <w:marBottom w:val="0"/>
      <w:divBdr>
        <w:top w:val="none" w:sz="0" w:space="0" w:color="auto"/>
        <w:left w:val="none" w:sz="0" w:space="0" w:color="auto"/>
        <w:bottom w:val="none" w:sz="0" w:space="0" w:color="auto"/>
        <w:right w:val="none" w:sz="0" w:space="0" w:color="auto"/>
      </w:divBdr>
      <w:divsChild>
        <w:div w:id="538322559">
          <w:marLeft w:val="0"/>
          <w:marRight w:val="0"/>
          <w:marTop w:val="0"/>
          <w:marBottom w:val="0"/>
          <w:divBdr>
            <w:top w:val="none" w:sz="0" w:space="0" w:color="auto"/>
            <w:left w:val="none" w:sz="0" w:space="0" w:color="auto"/>
            <w:bottom w:val="none" w:sz="0" w:space="0" w:color="auto"/>
            <w:right w:val="none" w:sz="0" w:space="0" w:color="auto"/>
          </w:divBdr>
        </w:div>
        <w:div w:id="1464810065">
          <w:marLeft w:val="0"/>
          <w:marRight w:val="0"/>
          <w:marTop w:val="0"/>
          <w:marBottom w:val="0"/>
          <w:divBdr>
            <w:top w:val="none" w:sz="0" w:space="0" w:color="auto"/>
            <w:left w:val="none" w:sz="0" w:space="0" w:color="auto"/>
            <w:bottom w:val="none" w:sz="0" w:space="0" w:color="auto"/>
            <w:right w:val="none" w:sz="0" w:space="0" w:color="auto"/>
          </w:divBdr>
        </w:div>
      </w:divsChild>
    </w:div>
    <w:div w:id="1255894457">
      <w:bodyDiv w:val="1"/>
      <w:marLeft w:val="0"/>
      <w:marRight w:val="0"/>
      <w:marTop w:val="0"/>
      <w:marBottom w:val="0"/>
      <w:divBdr>
        <w:top w:val="none" w:sz="0" w:space="0" w:color="auto"/>
        <w:left w:val="none" w:sz="0" w:space="0" w:color="auto"/>
        <w:bottom w:val="none" w:sz="0" w:space="0" w:color="auto"/>
        <w:right w:val="none" w:sz="0" w:space="0" w:color="auto"/>
      </w:divBdr>
      <w:divsChild>
        <w:div w:id="529759300">
          <w:marLeft w:val="0"/>
          <w:marRight w:val="0"/>
          <w:marTop w:val="0"/>
          <w:marBottom w:val="0"/>
          <w:divBdr>
            <w:top w:val="none" w:sz="0" w:space="0" w:color="auto"/>
            <w:left w:val="none" w:sz="0" w:space="0" w:color="auto"/>
            <w:bottom w:val="none" w:sz="0" w:space="0" w:color="auto"/>
            <w:right w:val="none" w:sz="0" w:space="0" w:color="auto"/>
          </w:divBdr>
        </w:div>
        <w:div w:id="1704593941">
          <w:marLeft w:val="0"/>
          <w:marRight w:val="0"/>
          <w:marTop w:val="0"/>
          <w:marBottom w:val="0"/>
          <w:divBdr>
            <w:top w:val="none" w:sz="0" w:space="0" w:color="auto"/>
            <w:left w:val="none" w:sz="0" w:space="0" w:color="auto"/>
            <w:bottom w:val="none" w:sz="0" w:space="0" w:color="auto"/>
            <w:right w:val="none" w:sz="0" w:space="0" w:color="auto"/>
          </w:divBdr>
        </w:div>
      </w:divsChild>
    </w:div>
    <w:div w:id="1331131760">
      <w:bodyDiv w:val="1"/>
      <w:marLeft w:val="0"/>
      <w:marRight w:val="0"/>
      <w:marTop w:val="0"/>
      <w:marBottom w:val="0"/>
      <w:divBdr>
        <w:top w:val="none" w:sz="0" w:space="0" w:color="auto"/>
        <w:left w:val="none" w:sz="0" w:space="0" w:color="auto"/>
        <w:bottom w:val="none" w:sz="0" w:space="0" w:color="auto"/>
        <w:right w:val="none" w:sz="0" w:space="0" w:color="auto"/>
      </w:divBdr>
      <w:divsChild>
        <w:div w:id="1650092887">
          <w:marLeft w:val="0"/>
          <w:marRight w:val="0"/>
          <w:marTop w:val="0"/>
          <w:marBottom w:val="0"/>
          <w:divBdr>
            <w:top w:val="none" w:sz="0" w:space="0" w:color="auto"/>
            <w:left w:val="none" w:sz="0" w:space="0" w:color="auto"/>
            <w:bottom w:val="none" w:sz="0" w:space="0" w:color="auto"/>
            <w:right w:val="none" w:sz="0" w:space="0" w:color="auto"/>
          </w:divBdr>
        </w:div>
        <w:div w:id="469174378">
          <w:marLeft w:val="0"/>
          <w:marRight w:val="0"/>
          <w:marTop w:val="0"/>
          <w:marBottom w:val="0"/>
          <w:divBdr>
            <w:top w:val="none" w:sz="0" w:space="0" w:color="auto"/>
            <w:left w:val="none" w:sz="0" w:space="0" w:color="auto"/>
            <w:bottom w:val="none" w:sz="0" w:space="0" w:color="auto"/>
            <w:right w:val="none" w:sz="0" w:space="0" w:color="auto"/>
          </w:divBdr>
        </w:div>
      </w:divsChild>
    </w:div>
    <w:div w:id="1504276885">
      <w:bodyDiv w:val="1"/>
      <w:marLeft w:val="0"/>
      <w:marRight w:val="0"/>
      <w:marTop w:val="0"/>
      <w:marBottom w:val="0"/>
      <w:divBdr>
        <w:top w:val="none" w:sz="0" w:space="0" w:color="auto"/>
        <w:left w:val="none" w:sz="0" w:space="0" w:color="auto"/>
        <w:bottom w:val="none" w:sz="0" w:space="0" w:color="auto"/>
        <w:right w:val="none" w:sz="0" w:space="0" w:color="auto"/>
      </w:divBdr>
      <w:divsChild>
        <w:div w:id="4094598">
          <w:marLeft w:val="0"/>
          <w:marRight w:val="0"/>
          <w:marTop w:val="0"/>
          <w:marBottom w:val="0"/>
          <w:divBdr>
            <w:top w:val="none" w:sz="0" w:space="0" w:color="auto"/>
            <w:left w:val="none" w:sz="0" w:space="0" w:color="auto"/>
            <w:bottom w:val="none" w:sz="0" w:space="0" w:color="auto"/>
            <w:right w:val="none" w:sz="0" w:space="0" w:color="auto"/>
          </w:divBdr>
        </w:div>
        <w:div w:id="245844893">
          <w:marLeft w:val="0"/>
          <w:marRight w:val="0"/>
          <w:marTop w:val="0"/>
          <w:marBottom w:val="0"/>
          <w:divBdr>
            <w:top w:val="none" w:sz="0" w:space="0" w:color="auto"/>
            <w:left w:val="none" w:sz="0" w:space="0" w:color="auto"/>
            <w:bottom w:val="none" w:sz="0" w:space="0" w:color="auto"/>
            <w:right w:val="none" w:sz="0" w:space="0" w:color="auto"/>
          </w:divBdr>
        </w:div>
      </w:divsChild>
    </w:div>
    <w:div w:id="1504928224">
      <w:bodyDiv w:val="1"/>
      <w:marLeft w:val="0"/>
      <w:marRight w:val="0"/>
      <w:marTop w:val="0"/>
      <w:marBottom w:val="0"/>
      <w:divBdr>
        <w:top w:val="none" w:sz="0" w:space="0" w:color="auto"/>
        <w:left w:val="none" w:sz="0" w:space="0" w:color="auto"/>
        <w:bottom w:val="none" w:sz="0" w:space="0" w:color="auto"/>
        <w:right w:val="none" w:sz="0" w:space="0" w:color="auto"/>
      </w:divBdr>
      <w:divsChild>
        <w:div w:id="1999192564">
          <w:marLeft w:val="0"/>
          <w:marRight w:val="0"/>
          <w:marTop w:val="0"/>
          <w:marBottom w:val="0"/>
          <w:divBdr>
            <w:top w:val="none" w:sz="0" w:space="0" w:color="auto"/>
            <w:left w:val="none" w:sz="0" w:space="0" w:color="auto"/>
            <w:bottom w:val="none" w:sz="0" w:space="0" w:color="auto"/>
            <w:right w:val="none" w:sz="0" w:space="0" w:color="auto"/>
          </w:divBdr>
        </w:div>
        <w:div w:id="1354654145">
          <w:marLeft w:val="0"/>
          <w:marRight w:val="0"/>
          <w:marTop w:val="0"/>
          <w:marBottom w:val="0"/>
          <w:divBdr>
            <w:top w:val="none" w:sz="0" w:space="0" w:color="auto"/>
            <w:left w:val="none" w:sz="0" w:space="0" w:color="auto"/>
            <w:bottom w:val="none" w:sz="0" w:space="0" w:color="auto"/>
            <w:right w:val="none" w:sz="0" w:space="0" w:color="auto"/>
          </w:divBdr>
        </w:div>
      </w:divsChild>
    </w:div>
    <w:div w:id="1545367802">
      <w:bodyDiv w:val="1"/>
      <w:marLeft w:val="0"/>
      <w:marRight w:val="0"/>
      <w:marTop w:val="0"/>
      <w:marBottom w:val="0"/>
      <w:divBdr>
        <w:top w:val="none" w:sz="0" w:space="0" w:color="auto"/>
        <w:left w:val="none" w:sz="0" w:space="0" w:color="auto"/>
        <w:bottom w:val="none" w:sz="0" w:space="0" w:color="auto"/>
        <w:right w:val="none" w:sz="0" w:space="0" w:color="auto"/>
      </w:divBdr>
      <w:divsChild>
        <w:div w:id="1271274777">
          <w:marLeft w:val="0"/>
          <w:marRight w:val="0"/>
          <w:marTop w:val="0"/>
          <w:marBottom w:val="0"/>
          <w:divBdr>
            <w:top w:val="none" w:sz="0" w:space="0" w:color="auto"/>
            <w:left w:val="none" w:sz="0" w:space="0" w:color="auto"/>
            <w:bottom w:val="none" w:sz="0" w:space="0" w:color="auto"/>
            <w:right w:val="none" w:sz="0" w:space="0" w:color="auto"/>
          </w:divBdr>
        </w:div>
        <w:div w:id="1804539090">
          <w:marLeft w:val="0"/>
          <w:marRight w:val="0"/>
          <w:marTop w:val="0"/>
          <w:marBottom w:val="0"/>
          <w:divBdr>
            <w:top w:val="none" w:sz="0" w:space="0" w:color="auto"/>
            <w:left w:val="none" w:sz="0" w:space="0" w:color="auto"/>
            <w:bottom w:val="none" w:sz="0" w:space="0" w:color="auto"/>
            <w:right w:val="none" w:sz="0" w:space="0" w:color="auto"/>
          </w:divBdr>
        </w:div>
      </w:divsChild>
    </w:div>
    <w:div w:id="1568300919">
      <w:bodyDiv w:val="1"/>
      <w:marLeft w:val="0"/>
      <w:marRight w:val="0"/>
      <w:marTop w:val="0"/>
      <w:marBottom w:val="0"/>
      <w:divBdr>
        <w:top w:val="none" w:sz="0" w:space="0" w:color="auto"/>
        <w:left w:val="none" w:sz="0" w:space="0" w:color="auto"/>
        <w:bottom w:val="none" w:sz="0" w:space="0" w:color="auto"/>
        <w:right w:val="none" w:sz="0" w:space="0" w:color="auto"/>
      </w:divBdr>
      <w:divsChild>
        <w:div w:id="1590312984">
          <w:marLeft w:val="0"/>
          <w:marRight w:val="0"/>
          <w:marTop w:val="0"/>
          <w:marBottom w:val="0"/>
          <w:divBdr>
            <w:top w:val="none" w:sz="0" w:space="0" w:color="auto"/>
            <w:left w:val="none" w:sz="0" w:space="0" w:color="auto"/>
            <w:bottom w:val="none" w:sz="0" w:space="0" w:color="auto"/>
            <w:right w:val="none" w:sz="0" w:space="0" w:color="auto"/>
          </w:divBdr>
        </w:div>
        <w:div w:id="21562347">
          <w:marLeft w:val="0"/>
          <w:marRight w:val="0"/>
          <w:marTop w:val="0"/>
          <w:marBottom w:val="0"/>
          <w:divBdr>
            <w:top w:val="none" w:sz="0" w:space="0" w:color="auto"/>
            <w:left w:val="none" w:sz="0" w:space="0" w:color="auto"/>
            <w:bottom w:val="none" w:sz="0" w:space="0" w:color="auto"/>
            <w:right w:val="none" w:sz="0" w:space="0" w:color="auto"/>
          </w:divBdr>
        </w:div>
      </w:divsChild>
    </w:div>
    <w:div w:id="1590039144">
      <w:bodyDiv w:val="1"/>
      <w:marLeft w:val="0"/>
      <w:marRight w:val="0"/>
      <w:marTop w:val="0"/>
      <w:marBottom w:val="0"/>
      <w:divBdr>
        <w:top w:val="none" w:sz="0" w:space="0" w:color="auto"/>
        <w:left w:val="none" w:sz="0" w:space="0" w:color="auto"/>
        <w:bottom w:val="none" w:sz="0" w:space="0" w:color="auto"/>
        <w:right w:val="none" w:sz="0" w:space="0" w:color="auto"/>
      </w:divBdr>
      <w:divsChild>
        <w:div w:id="670371711">
          <w:marLeft w:val="0"/>
          <w:marRight w:val="0"/>
          <w:marTop w:val="0"/>
          <w:marBottom w:val="0"/>
          <w:divBdr>
            <w:top w:val="none" w:sz="0" w:space="0" w:color="auto"/>
            <w:left w:val="none" w:sz="0" w:space="0" w:color="auto"/>
            <w:bottom w:val="none" w:sz="0" w:space="0" w:color="auto"/>
            <w:right w:val="none" w:sz="0" w:space="0" w:color="auto"/>
          </w:divBdr>
        </w:div>
        <w:div w:id="87819460">
          <w:marLeft w:val="0"/>
          <w:marRight w:val="0"/>
          <w:marTop w:val="0"/>
          <w:marBottom w:val="0"/>
          <w:divBdr>
            <w:top w:val="none" w:sz="0" w:space="0" w:color="auto"/>
            <w:left w:val="none" w:sz="0" w:space="0" w:color="auto"/>
            <w:bottom w:val="none" w:sz="0" w:space="0" w:color="auto"/>
            <w:right w:val="none" w:sz="0" w:space="0" w:color="auto"/>
          </w:divBdr>
        </w:div>
      </w:divsChild>
    </w:div>
    <w:div w:id="1694915937">
      <w:bodyDiv w:val="1"/>
      <w:marLeft w:val="0"/>
      <w:marRight w:val="0"/>
      <w:marTop w:val="0"/>
      <w:marBottom w:val="0"/>
      <w:divBdr>
        <w:top w:val="none" w:sz="0" w:space="0" w:color="auto"/>
        <w:left w:val="none" w:sz="0" w:space="0" w:color="auto"/>
        <w:bottom w:val="none" w:sz="0" w:space="0" w:color="auto"/>
        <w:right w:val="none" w:sz="0" w:space="0" w:color="auto"/>
      </w:divBdr>
      <w:divsChild>
        <w:div w:id="589432800">
          <w:marLeft w:val="0"/>
          <w:marRight w:val="0"/>
          <w:marTop w:val="0"/>
          <w:marBottom w:val="0"/>
          <w:divBdr>
            <w:top w:val="none" w:sz="0" w:space="0" w:color="auto"/>
            <w:left w:val="none" w:sz="0" w:space="0" w:color="auto"/>
            <w:bottom w:val="none" w:sz="0" w:space="0" w:color="auto"/>
            <w:right w:val="none" w:sz="0" w:space="0" w:color="auto"/>
          </w:divBdr>
        </w:div>
        <w:div w:id="813063884">
          <w:marLeft w:val="0"/>
          <w:marRight w:val="0"/>
          <w:marTop w:val="0"/>
          <w:marBottom w:val="0"/>
          <w:divBdr>
            <w:top w:val="none" w:sz="0" w:space="0" w:color="auto"/>
            <w:left w:val="none" w:sz="0" w:space="0" w:color="auto"/>
            <w:bottom w:val="none" w:sz="0" w:space="0" w:color="auto"/>
            <w:right w:val="none" w:sz="0" w:space="0" w:color="auto"/>
          </w:divBdr>
        </w:div>
      </w:divsChild>
    </w:div>
    <w:div w:id="1802188668">
      <w:bodyDiv w:val="1"/>
      <w:marLeft w:val="0"/>
      <w:marRight w:val="0"/>
      <w:marTop w:val="0"/>
      <w:marBottom w:val="0"/>
      <w:divBdr>
        <w:top w:val="none" w:sz="0" w:space="0" w:color="auto"/>
        <w:left w:val="none" w:sz="0" w:space="0" w:color="auto"/>
        <w:bottom w:val="none" w:sz="0" w:space="0" w:color="auto"/>
        <w:right w:val="none" w:sz="0" w:space="0" w:color="auto"/>
      </w:divBdr>
      <w:divsChild>
        <w:div w:id="2058118541">
          <w:marLeft w:val="0"/>
          <w:marRight w:val="0"/>
          <w:marTop w:val="0"/>
          <w:marBottom w:val="0"/>
          <w:divBdr>
            <w:top w:val="none" w:sz="0" w:space="0" w:color="auto"/>
            <w:left w:val="none" w:sz="0" w:space="0" w:color="auto"/>
            <w:bottom w:val="none" w:sz="0" w:space="0" w:color="auto"/>
            <w:right w:val="none" w:sz="0" w:space="0" w:color="auto"/>
          </w:divBdr>
        </w:div>
        <w:div w:id="121117384">
          <w:marLeft w:val="0"/>
          <w:marRight w:val="0"/>
          <w:marTop w:val="0"/>
          <w:marBottom w:val="0"/>
          <w:divBdr>
            <w:top w:val="none" w:sz="0" w:space="0" w:color="auto"/>
            <w:left w:val="none" w:sz="0" w:space="0" w:color="auto"/>
            <w:bottom w:val="none" w:sz="0" w:space="0" w:color="auto"/>
            <w:right w:val="none" w:sz="0" w:space="0" w:color="auto"/>
          </w:divBdr>
        </w:div>
      </w:divsChild>
    </w:div>
    <w:div w:id="1826898008">
      <w:bodyDiv w:val="1"/>
      <w:marLeft w:val="0"/>
      <w:marRight w:val="0"/>
      <w:marTop w:val="0"/>
      <w:marBottom w:val="0"/>
      <w:divBdr>
        <w:top w:val="none" w:sz="0" w:space="0" w:color="auto"/>
        <w:left w:val="none" w:sz="0" w:space="0" w:color="auto"/>
        <w:bottom w:val="none" w:sz="0" w:space="0" w:color="auto"/>
        <w:right w:val="none" w:sz="0" w:space="0" w:color="auto"/>
      </w:divBdr>
      <w:divsChild>
        <w:div w:id="132069215">
          <w:marLeft w:val="0"/>
          <w:marRight w:val="0"/>
          <w:marTop w:val="0"/>
          <w:marBottom w:val="0"/>
          <w:divBdr>
            <w:top w:val="none" w:sz="0" w:space="0" w:color="auto"/>
            <w:left w:val="none" w:sz="0" w:space="0" w:color="auto"/>
            <w:bottom w:val="none" w:sz="0" w:space="0" w:color="auto"/>
            <w:right w:val="none" w:sz="0" w:space="0" w:color="auto"/>
          </w:divBdr>
        </w:div>
        <w:div w:id="1421901522">
          <w:marLeft w:val="0"/>
          <w:marRight w:val="0"/>
          <w:marTop w:val="0"/>
          <w:marBottom w:val="0"/>
          <w:divBdr>
            <w:top w:val="none" w:sz="0" w:space="0" w:color="auto"/>
            <w:left w:val="none" w:sz="0" w:space="0" w:color="auto"/>
            <w:bottom w:val="none" w:sz="0" w:space="0" w:color="auto"/>
            <w:right w:val="none" w:sz="0" w:space="0" w:color="auto"/>
          </w:divBdr>
        </w:div>
      </w:divsChild>
    </w:div>
    <w:div w:id="1889681736">
      <w:bodyDiv w:val="1"/>
      <w:marLeft w:val="0"/>
      <w:marRight w:val="0"/>
      <w:marTop w:val="0"/>
      <w:marBottom w:val="0"/>
      <w:divBdr>
        <w:top w:val="none" w:sz="0" w:space="0" w:color="auto"/>
        <w:left w:val="none" w:sz="0" w:space="0" w:color="auto"/>
        <w:bottom w:val="none" w:sz="0" w:space="0" w:color="auto"/>
        <w:right w:val="none" w:sz="0" w:space="0" w:color="auto"/>
      </w:divBdr>
      <w:divsChild>
        <w:div w:id="1060902155">
          <w:marLeft w:val="0"/>
          <w:marRight w:val="0"/>
          <w:marTop w:val="0"/>
          <w:marBottom w:val="0"/>
          <w:divBdr>
            <w:top w:val="none" w:sz="0" w:space="0" w:color="auto"/>
            <w:left w:val="none" w:sz="0" w:space="0" w:color="auto"/>
            <w:bottom w:val="none" w:sz="0" w:space="0" w:color="auto"/>
            <w:right w:val="none" w:sz="0" w:space="0" w:color="auto"/>
          </w:divBdr>
        </w:div>
        <w:div w:id="14125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58/" TargetMode="External"/><Relationship Id="rId5" Type="http://schemas.openxmlformats.org/officeDocument/2006/relationships/hyperlink" Target="http://www.zakonrf.info/nk/gl2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1805</Words>
  <Characters>10291</Characters>
  <Application>Microsoft Office Word</Application>
  <DocSecurity>0</DocSecurity>
  <Lines>85</Lines>
  <Paragraphs>24</Paragraphs>
  <ScaleCrop>false</ScaleCrop>
  <Company>SPecialiST RePack</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2017-04-30T14:50:00Z</dcterms:created>
  <dcterms:modified xsi:type="dcterms:W3CDTF">2017-05-06T14:37:00Z</dcterms:modified>
</cp:coreProperties>
</file>