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6B5" w:rsidRDefault="001346B5" w:rsidP="001346B5">
      <w:pPr>
        <w:pStyle w:val="2"/>
        <w:rPr>
          <w:sz w:val="27"/>
          <w:szCs w:val="27"/>
        </w:rPr>
      </w:pPr>
      <w:r>
        <w:rPr>
          <w:sz w:val="27"/>
          <w:szCs w:val="27"/>
        </w:rPr>
        <w:t>Статья 171. Налоговые вычеты</w:t>
      </w:r>
    </w:p>
    <w:p w:rsidR="001346B5" w:rsidRDefault="001346B5" w:rsidP="001346B5">
      <w:pPr>
        <w:rPr>
          <w:sz w:val="24"/>
          <w:szCs w:val="24"/>
        </w:rPr>
      </w:pPr>
      <w:hyperlink r:id="rId4" w:tooltip="Налоговый кодекс РФ" w:history="1">
        <w:r>
          <w:rPr>
            <w:rStyle w:val="a3"/>
            <w:b/>
            <w:bCs/>
            <w:color w:val="707070"/>
            <w:sz w:val="20"/>
            <w:szCs w:val="20"/>
            <w:u w:val="none"/>
          </w:rPr>
          <w:t>[Налоговый кодекс РФ]</w:t>
        </w:r>
      </w:hyperlink>
      <w:r>
        <w:rPr>
          <w:rStyle w:val="apple-converted-space"/>
        </w:rPr>
        <w:t> </w:t>
      </w:r>
      <w:hyperlink r:id="rId5" w:tooltip="Налог на добавленную стоимость" w:history="1">
        <w:r>
          <w:rPr>
            <w:rStyle w:val="a3"/>
            <w:b/>
            <w:bCs/>
            <w:color w:val="707070"/>
            <w:sz w:val="20"/>
            <w:szCs w:val="20"/>
            <w:u w:val="none"/>
          </w:rPr>
          <w:t>[Глава 21]</w:t>
        </w:r>
      </w:hyperlink>
      <w:r>
        <w:rPr>
          <w:rStyle w:val="apple-converted-space"/>
        </w:rPr>
        <w:t> </w:t>
      </w:r>
      <w:hyperlink r:id="rId6" w:tooltip="Налоговые вычеты" w:history="1">
        <w:r>
          <w:rPr>
            <w:rStyle w:val="a3"/>
            <w:b/>
            <w:bCs/>
            <w:color w:val="707070"/>
            <w:sz w:val="20"/>
            <w:szCs w:val="20"/>
            <w:u w:val="none"/>
          </w:rPr>
          <w:t>[Статья 171]</w:t>
        </w:r>
      </w:hyperlink>
    </w:p>
    <w:p w:rsidR="001346B5" w:rsidRDefault="001346B5" w:rsidP="001346B5">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1. Налогоплательщик имеет право уменьшить общую сумму налога, исчисленную в соответствии со статьей 166 настоящего Кодекса, на установленные настоящей статьей налоговые вычеты.</w:t>
      </w:r>
    </w:p>
    <w:p w:rsidR="001346B5" w:rsidRDefault="001346B5" w:rsidP="001346B5">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 xml:space="preserve">2. </w:t>
      </w:r>
      <w:proofErr w:type="gramStart"/>
      <w:r>
        <w:rPr>
          <w:rFonts w:ascii="Arial" w:hAnsi="Arial" w:cs="Arial"/>
          <w:color w:val="000000"/>
          <w:sz w:val="27"/>
          <w:szCs w:val="27"/>
        </w:rPr>
        <w:t>Вычетам подлежат суммы налога, предъявленные налогоплательщику при приобретении товаров (работ, услуг), а также имущественных прав на территории Российской Федерации либо уплаченные налогоплательщиком при ввозе товаров на территорию Российской Федерации и иные территории, находящиеся под ее юрисдикцией, в таможенных процедурах выпуска для внутреннего потребления (включая суммы налога, уплаченные или подлежащие уплате налогоплательщиком по истечении 180 календарных дней с даты выпуска товаров</w:t>
      </w:r>
      <w:proofErr w:type="gramEnd"/>
      <w:r>
        <w:rPr>
          <w:rFonts w:ascii="Arial" w:hAnsi="Arial" w:cs="Arial"/>
          <w:color w:val="000000"/>
          <w:sz w:val="27"/>
          <w:szCs w:val="27"/>
        </w:rPr>
        <w:t xml:space="preserve"> </w:t>
      </w:r>
      <w:proofErr w:type="gramStart"/>
      <w:r>
        <w:rPr>
          <w:rFonts w:ascii="Arial" w:hAnsi="Arial" w:cs="Arial"/>
          <w:color w:val="000000"/>
          <w:sz w:val="27"/>
          <w:szCs w:val="27"/>
        </w:rPr>
        <w:t>в соответствии с таможенной процедурой выпуска для внутреннего потребления при завершении действия таможенной процедуры свободной таможенной зоны на территории</w:t>
      </w:r>
      <w:proofErr w:type="gramEnd"/>
      <w:r>
        <w:rPr>
          <w:rFonts w:ascii="Arial" w:hAnsi="Arial" w:cs="Arial"/>
          <w:color w:val="000000"/>
          <w:sz w:val="27"/>
          <w:szCs w:val="27"/>
        </w:rPr>
        <w:t xml:space="preserve"> Особой экономической зоны в Калининградской области), переработки для внутреннего потребления, временного ввоза и переработки вне таможенной территории либо при ввозе товаров, перемещаемых через границу Российской Федерации без таможенного оформления, в отношении:</w:t>
      </w:r>
    </w:p>
    <w:p w:rsidR="001346B5" w:rsidRDefault="001346B5" w:rsidP="001346B5">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1) товаров (работ, услуг), а также имущественных прав, приобретаемых для осуществления операций, признаваемых объектами налогообложения в соответствии с настоящей главой, за исключением товаров, предусмотренных пунктом 2 статьи 170 настоящего Кодекса;</w:t>
      </w:r>
    </w:p>
    <w:p w:rsidR="001346B5" w:rsidRDefault="001346B5" w:rsidP="001346B5">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2) товаров (работ, услуг), приобретаемых для перепродажи.</w:t>
      </w:r>
    </w:p>
    <w:p w:rsidR="001346B5" w:rsidRDefault="001346B5" w:rsidP="001346B5">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Абзац исключен.</w:t>
      </w:r>
    </w:p>
    <w:p w:rsidR="001346B5" w:rsidRDefault="001346B5" w:rsidP="001346B5">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3. Вычетам подлежат суммы налога, уплаченные в соответствии со статьей 173 настоящего Кодекса покупателями - налоговыми агентами.</w:t>
      </w:r>
    </w:p>
    <w:p w:rsidR="001346B5" w:rsidRDefault="001346B5" w:rsidP="001346B5">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Право на указанные налоговые вычеты имеют покупатели - налоговые агенты, состоящие на учете в налоговых органах и исполняющие обязанности налогоплательщика в соответствии с настоящей главой. Налоговые агенты, осуществляющие операции, указанные в пунктах 4 и 5 статьи 161 настоящего Кодекса, не имеют права на включение в налоговые вычеты сумм налога, уплаченных по этим операциям.</w:t>
      </w:r>
    </w:p>
    <w:p w:rsidR="001346B5" w:rsidRDefault="001346B5" w:rsidP="001346B5">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 xml:space="preserve">Положения настоящего пункта применяются при условии, что товары (работы, услуги), имущественные права были приобретены </w:t>
      </w:r>
      <w:r>
        <w:rPr>
          <w:rFonts w:ascii="Arial" w:hAnsi="Arial" w:cs="Arial"/>
          <w:color w:val="000000"/>
          <w:sz w:val="27"/>
          <w:szCs w:val="27"/>
        </w:rPr>
        <w:lastRenderedPageBreak/>
        <w:t>налогоплательщиком, являющимся налоговым агентом, для целей, указанных в пункте 2 настоящей статьи, и при их приобретении он уплатил налог в соответствии с настоящей главой.</w:t>
      </w:r>
    </w:p>
    <w:p w:rsidR="001346B5" w:rsidRDefault="001346B5" w:rsidP="001346B5">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 xml:space="preserve">4. </w:t>
      </w:r>
      <w:proofErr w:type="gramStart"/>
      <w:r>
        <w:rPr>
          <w:rFonts w:ascii="Arial" w:hAnsi="Arial" w:cs="Arial"/>
          <w:color w:val="000000"/>
          <w:sz w:val="27"/>
          <w:szCs w:val="27"/>
        </w:rPr>
        <w:t>Вычету подлежат суммы налога, предъявленные продавцами налогоплательщику - иностранному лицу, не состоявшему на учете в налоговых органах Российской Федерации, при приобретении указанным налогоплательщиком товаров (работ, услуг), имущественных прав или уплаченные им при ввозе товаров на территорию Российской Федерации и иные территории, находящиеся под ее юрисдикцией, для его производственных целей или для осуществления им иной деятельности.</w:t>
      </w:r>
      <w:proofErr w:type="gramEnd"/>
    </w:p>
    <w:p w:rsidR="001346B5" w:rsidRDefault="001346B5" w:rsidP="001346B5">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Указанные суммы налога подлежат вычету или возврату налогоплательщику - иностранному лицу после уплаты налоговым агентом налога, удержанного из доходов этого налогоплательщика, и только в той части, в которой приобретенные или ввезенные товары (работы, услуги), имущественные права использованы при производстве товаров (выполнении работ, оказании услуг), реализованных удержавшему налог налоговому агенту. Указанные суммы налога подлежат вычету или возврату при условии постановки налогоплательщика - иностранного лица на учет в налоговых органах Российской Федерации.</w:t>
      </w:r>
    </w:p>
    <w:p w:rsidR="001346B5" w:rsidRDefault="001346B5" w:rsidP="001346B5">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5. Вычетам подлежат суммы налога, предъявленные продавцом покупателю и уплаченные продавцом в бюджет при реализации товаров, в случае возврата этих товаров (в том числе в течение действия гарантийного срока) продавцу или отказа от них. Вычетам подлежат также суммы налога, уплаченные при выполнении работ (оказании услуг), в случае отказа от этих работ (услуг).</w:t>
      </w:r>
    </w:p>
    <w:p w:rsidR="001346B5" w:rsidRDefault="001346B5" w:rsidP="001346B5">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Вычетам подлежат суммы налога, исчисленные продавцами и уплаченные ими в бюджет с сумм оплаты, частичной оплаты в счет предстоящих поставок товаров (выполнения работ, оказания услуг), реализуемых на территории Российской Федерации, в случае изменения условий либо расторжения соответствующего договора и возврата соответствующих сумм авансовых платежей.</w:t>
      </w:r>
    </w:p>
    <w:p w:rsidR="001346B5" w:rsidRDefault="001346B5" w:rsidP="001346B5">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Положения настоящего пункта распространяются на покупателей-налогоплательщиков, исполняющих обязанности налогового агента в соответствии с пунктами 2 и 3 статьи 161 настоящего Кодекса.</w:t>
      </w:r>
    </w:p>
    <w:p w:rsidR="001346B5" w:rsidRDefault="001346B5" w:rsidP="001346B5">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 xml:space="preserve">6. </w:t>
      </w:r>
      <w:proofErr w:type="gramStart"/>
      <w:r>
        <w:rPr>
          <w:rFonts w:ascii="Arial" w:hAnsi="Arial" w:cs="Arial"/>
          <w:color w:val="000000"/>
          <w:sz w:val="27"/>
          <w:szCs w:val="27"/>
        </w:rPr>
        <w:t xml:space="preserve">Вычетам подлежат суммы налога, предъявленные налогоплательщику подрядными организациями (застройщиками или техническими заказчиками) при проведении ими капитального строительства (ликвидации основных средств), сборке (разборке), монтаже (демонтаже) </w:t>
      </w:r>
      <w:r>
        <w:rPr>
          <w:rFonts w:ascii="Arial" w:hAnsi="Arial" w:cs="Arial"/>
          <w:color w:val="000000"/>
          <w:sz w:val="27"/>
          <w:szCs w:val="27"/>
        </w:rPr>
        <w:lastRenderedPageBreak/>
        <w:t>основных средств, суммы налога, предъявленные налогоплательщику по товарам (работам, услугам), приобретенным им для выполнения строительно-монтажных работ, и суммы налога, предъявленные налогоплательщику при приобретении им объектов незавершенного капитального строительства.</w:t>
      </w:r>
      <w:proofErr w:type="gramEnd"/>
    </w:p>
    <w:p w:rsidR="001346B5" w:rsidRDefault="001346B5" w:rsidP="001346B5">
      <w:pPr>
        <w:pStyle w:val="a4"/>
        <w:shd w:val="clear" w:color="auto" w:fill="FFFFFF"/>
        <w:spacing w:before="240" w:beforeAutospacing="0" w:after="240" w:afterAutospacing="0" w:line="334" w:lineRule="atLeast"/>
        <w:rPr>
          <w:rFonts w:ascii="Arial" w:hAnsi="Arial" w:cs="Arial"/>
          <w:color w:val="000000"/>
          <w:sz w:val="27"/>
          <w:szCs w:val="27"/>
        </w:rPr>
      </w:pPr>
      <w:proofErr w:type="gramStart"/>
      <w:r>
        <w:rPr>
          <w:rFonts w:ascii="Arial" w:hAnsi="Arial" w:cs="Arial"/>
          <w:color w:val="000000"/>
          <w:sz w:val="27"/>
          <w:szCs w:val="27"/>
        </w:rPr>
        <w:t>В случае реорганизации вычетам у правопреемника (правопреемников) подлежат суммы налога, предъявленные реорганизованной (реорганизуемой) организации по товарам (работам, услугам), приобретенным реорганизованной (реорганизуемой) организацией для выполнения строительно-монтажных работ для собственного потребления, принимаемые к вычету, но не принятые реорганизованной (реорганизуемой) организацией к вычету на момент завершения реорганизации.</w:t>
      </w:r>
      <w:proofErr w:type="gramEnd"/>
    </w:p>
    <w:p w:rsidR="001346B5" w:rsidRDefault="001346B5" w:rsidP="001346B5">
      <w:pPr>
        <w:pStyle w:val="a4"/>
        <w:shd w:val="clear" w:color="auto" w:fill="FFFFFF"/>
        <w:spacing w:before="240" w:beforeAutospacing="0" w:after="240" w:afterAutospacing="0" w:line="334" w:lineRule="atLeast"/>
        <w:rPr>
          <w:rFonts w:ascii="Arial" w:hAnsi="Arial" w:cs="Arial"/>
          <w:color w:val="000000"/>
          <w:sz w:val="27"/>
          <w:szCs w:val="27"/>
        </w:rPr>
      </w:pPr>
      <w:proofErr w:type="gramStart"/>
      <w:r>
        <w:rPr>
          <w:rFonts w:ascii="Arial" w:hAnsi="Arial" w:cs="Arial"/>
          <w:color w:val="000000"/>
          <w:sz w:val="27"/>
          <w:szCs w:val="27"/>
        </w:rPr>
        <w:t>Вычетам подлежат суммы налога, исчисленные налогоплательщиками в соответствии с пунктом 1 статьи 166 настоящего Кодекса при выполнении строительно-монтажных работ для собственного потребления, связанных с имуществом, предназначенным для осуществления операций, облагаемых налогом в соответствии с настоящей главой, стоимость которого подлежит включению в расходы (в том числе через амортизационные отчисления) при исчислении налога на прибыль организаций.</w:t>
      </w:r>
      <w:proofErr w:type="gramEnd"/>
    </w:p>
    <w:p w:rsidR="001346B5" w:rsidRDefault="001346B5" w:rsidP="001346B5">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Суммы налога, принятые налогоплательщиком к вычету в отношении приобретенных или построенных объектов основных сре</w:t>
      </w:r>
      <w:proofErr w:type="gramStart"/>
      <w:r>
        <w:rPr>
          <w:rFonts w:ascii="Arial" w:hAnsi="Arial" w:cs="Arial"/>
          <w:color w:val="000000"/>
          <w:sz w:val="27"/>
          <w:szCs w:val="27"/>
        </w:rPr>
        <w:t>дств в п</w:t>
      </w:r>
      <w:proofErr w:type="gramEnd"/>
      <w:r>
        <w:rPr>
          <w:rFonts w:ascii="Arial" w:hAnsi="Arial" w:cs="Arial"/>
          <w:color w:val="000000"/>
          <w:sz w:val="27"/>
          <w:szCs w:val="27"/>
        </w:rPr>
        <w:t>орядке, предусмотренном настоящей главой, подлежат восстановлению в случаях и порядке, предусмотренных статьей 171.1 настоящего Кодекса.</w:t>
      </w:r>
    </w:p>
    <w:p w:rsidR="001346B5" w:rsidRDefault="001346B5" w:rsidP="001346B5">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Абзацы пятый - девятый утратили силу.</w:t>
      </w:r>
    </w:p>
    <w:p w:rsidR="001346B5" w:rsidRDefault="001346B5" w:rsidP="001346B5">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7. Вычетам подлежат суммы налога, уплаченные по расходам на командировки (расходам по проезду к месту служебной командировки и обратно, включая расходы на пользование в поездах постельными принадлежностями, а также расходам на наем жилого помещения) и представительским расходам, принимаемым к вычету при исчислении налога на прибыль организаций.</w:t>
      </w:r>
    </w:p>
    <w:p w:rsidR="001346B5" w:rsidRDefault="001346B5" w:rsidP="001346B5">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Абзац утратил силу.</w:t>
      </w:r>
    </w:p>
    <w:p w:rsidR="001346B5" w:rsidRDefault="001346B5" w:rsidP="001346B5">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8. Вычетам подлежат суммы налога, исчисленные налогоплательщиком с сумм оплаты, частичной оплаты, полученных в счет предстоящих поставок товаров (работ, услуг).</w:t>
      </w:r>
    </w:p>
    <w:p w:rsidR="001346B5" w:rsidRDefault="001346B5" w:rsidP="001346B5">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9. Исключен.</w:t>
      </w:r>
    </w:p>
    <w:p w:rsidR="001346B5" w:rsidRDefault="001346B5" w:rsidP="001346B5">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lastRenderedPageBreak/>
        <w:t>10. Вычетам подлежат суммы налога, исчисленные налогоплательщиком в случае отсутствия документов, предусмотренных статьей 165 настоящего Кодекса, по операциям реализации товаров (работ, услуг), указанных в пункте 1 статьи 164 настоящего Кодекса.</w:t>
      </w:r>
    </w:p>
    <w:p w:rsidR="001346B5" w:rsidRDefault="001346B5" w:rsidP="001346B5">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 xml:space="preserve">11. </w:t>
      </w:r>
      <w:proofErr w:type="gramStart"/>
      <w:r>
        <w:rPr>
          <w:rFonts w:ascii="Arial" w:hAnsi="Arial" w:cs="Arial"/>
          <w:color w:val="000000"/>
          <w:sz w:val="27"/>
          <w:szCs w:val="27"/>
        </w:rPr>
        <w:t>Вычетам у налогоплательщика, получившего в качестве вклада (взноса) в уставный (складочный) капитал (фонд) имущество, нематериальные активы и имущественные права, подлежат суммы налога, которые были восстановлены акционером (участником, пайщиком) в порядке, установленном пунктом 3 статьи 170 настоящего Кодекса, в случае их использования для осуществления операций, признаваемых объектами налогообложения в соответствии с настоящей главой.</w:t>
      </w:r>
      <w:proofErr w:type="gramEnd"/>
    </w:p>
    <w:p w:rsidR="001346B5" w:rsidRDefault="001346B5" w:rsidP="001346B5">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12. Вычетам у налогоплательщика, перечислившего суммы оплаты, частичной оплаты в счет предстоящих поставок товаров (выполнения работ, оказания услуг), передачи имущественных прав, подлежат суммы налога, предъявленные продавцом этих товаров (работ, услуг), имущественных прав.</w:t>
      </w:r>
    </w:p>
    <w:p w:rsidR="001346B5" w:rsidRDefault="001346B5" w:rsidP="001346B5">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 xml:space="preserve">13. </w:t>
      </w:r>
      <w:proofErr w:type="gramStart"/>
      <w:r>
        <w:rPr>
          <w:rFonts w:ascii="Arial" w:hAnsi="Arial" w:cs="Arial"/>
          <w:color w:val="000000"/>
          <w:sz w:val="27"/>
          <w:szCs w:val="27"/>
        </w:rPr>
        <w:t>При изменении стоимости отгруженных товаров (выполненных работ, оказанных услуг), переданных имущественных прав в сторону уменьшения, в том числе в случае уменьшения цен (тарифов) и (или) уменьшения количества (объема) отгруженных товаров (выполненных работ, оказанных услуг), переданных имущественных прав, вычетам у продавца этих товаров (работ, услуг), имущественных прав подлежит разница между суммами налога, исчисленными исходя из стоимости отгруженных товаров (выполненных работ, оказанных</w:t>
      </w:r>
      <w:proofErr w:type="gramEnd"/>
      <w:r>
        <w:rPr>
          <w:rFonts w:ascii="Arial" w:hAnsi="Arial" w:cs="Arial"/>
          <w:color w:val="000000"/>
          <w:sz w:val="27"/>
          <w:szCs w:val="27"/>
        </w:rPr>
        <w:t xml:space="preserve"> услуг), переданных имущественных прав до и после такого уменьшения.</w:t>
      </w:r>
    </w:p>
    <w:p w:rsidR="001346B5" w:rsidRDefault="001346B5" w:rsidP="001346B5">
      <w:pPr>
        <w:pStyle w:val="a4"/>
        <w:shd w:val="clear" w:color="auto" w:fill="FFFFFF"/>
        <w:spacing w:before="240" w:beforeAutospacing="0" w:after="240" w:afterAutospacing="0" w:line="334" w:lineRule="atLeast"/>
        <w:rPr>
          <w:rFonts w:ascii="Arial" w:hAnsi="Arial" w:cs="Arial"/>
          <w:color w:val="000000"/>
          <w:sz w:val="27"/>
          <w:szCs w:val="27"/>
        </w:rPr>
      </w:pPr>
      <w:proofErr w:type="gramStart"/>
      <w:r>
        <w:rPr>
          <w:rFonts w:ascii="Arial" w:hAnsi="Arial" w:cs="Arial"/>
          <w:color w:val="000000"/>
          <w:sz w:val="27"/>
          <w:szCs w:val="27"/>
        </w:rPr>
        <w:t>При изменении в сторону увеличения стоимости отгруженных товаров (выполненных работ, оказанных услуг), переданных имущественных прав, в том числе в случае увеличения цены (тарифа) и (или) увеличения количества (объема) отгруженных товаров (выполненных работ, оказанных услуг), переданных имущественных прав, разница между суммами налога, исчисленными исходя из стоимости отгруженных товаров (выполненных работ, оказанных услуг), переданных имущественных прав до и после такого увеличения, подлежит</w:t>
      </w:r>
      <w:proofErr w:type="gramEnd"/>
      <w:r>
        <w:rPr>
          <w:rFonts w:ascii="Arial" w:hAnsi="Arial" w:cs="Arial"/>
          <w:color w:val="000000"/>
          <w:sz w:val="27"/>
          <w:szCs w:val="27"/>
        </w:rPr>
        <w:t xml:space="preserve"> вычету у покупателя этих товаров (работ, услуг), имущественных прав.</w:t>
      </w:r>
    </w:p>
    <w:p w:rsidR="001346B5" w:rsidRDefault="001346B5" w:rsidP="001346B5">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 xml:space="preserve">14. </w:t>
      </w:r>
      <w:proofErr w:type="gramStart"/>
      <w:r>
        <w:rPr>
          <w:rFonts w:ascii="Arial" w:hAnsi="Arial" w:cs="Arial"/>
          <w:color w:val="000000"/>
          <w:sz w:val="27"/>
          <w:szCs w:val="27"/>
        </w:rPr>
        <w:t xml:space="preserve">Суммы налога, исчисленные налогоплательщиком при ввозе товаров по итогам налогового периода, в котором истек 180-дневный срок с даты выпуска этих товаров в соответствии с таможенной процедурой выпуска для внутреннего потребления при завершении действия таможенной процедуры свободной таможенной зоны на территории Особой </w:t>
      </w:r>
      <w:r>
        <w:rPr>
          <w:rFonts w:ascii="Arial" w:hAnsi="Arial" w:cs="Arial"/>
          <w:color w:val="000000"/>
          <w:sz w:val="27"/>
          <w:szCs w:val="27"/>
        </w:rPr>
        <w:lastRenderedPageBreak/>
        <w:t>экономической зоны в Калининградской области, могут быть приняты к вычету после использования этих товаров для осуществления операций, признаваемых объектами</w:t>
      </w:r>
      <w:proofErr w:type="gramEnd"/>
      <w:r>
        <w:rPr>
          <w:rFonts w:ascii="Arial" w:hAnsi="Arial" w:cs="Arial"/>
          <w:color w:val="000000"/>
          <w:sz w:val="27"/>
          <w:szCs w:val="27"/>
        </w:rPr>
        <w:t xml:space="preserve"> налогообложения и подлежащих налогообложению в соответствии с настоящей главой.</w:t>
      </w:r>
    </w:p>
    <w:p w:rsidR="003936A4" w:rsidRPr="001346B5" w:rsidRDefault="001346B5" w:rsidP="001346B5"/>
    <w:sectPr w:rsidR="003936A4" w:rsidRPr="001346B5" w:rsidSect="00DB05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2"/>
  <w:proofState w:grammar="clean"/>
  <w:defaultTabStop w:val="708"/>
  <w:characterSpacingControl w:val="doNotCompress"/>
  <w:compat/>
  <w:rsids>
    <w:rsidRoot w:val="00D755BB"/>
    <w:rsid w:val="001346B5"/>
    <w:rsid w:val="0014727D"/>
    <w:rsid w:val="00195C9D"/>
    <w:rsid w:val="003315F7"/>
    <w:rsid w:val="0052155C"/>
    <w:rsid w:val="00624E11"/>
    <w:rsid w:val="00B64C16"/>
    <w:rsid w:val="00BD6B7A"/>
    <w:rsid w:val="00C12510"/>
    <w:rsid w:val="00D755BB"/>
    <w:rsid w:val="00DB0594"/>
    <w:rsid w:val="00F360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594"/>
  </w:style>
  <w:style w:type="paragraph" w:styleId="2">
    <w:name w:val="heading 2"/>
    <w:basedOn w:val="a"/>
    <w:link w:val="20"/>
    <w:uiPriority w:val="9"/>
    <w:qFormat/>
    <w:rsid w:val="00D755B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755BB"/>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D755BB"/>
    <w:rPr>
      <w:color w:val="0000FF"/>
      <w:u w:val="single"/>
    </w:rPr>
  </w:style>
  <w:style w:type="character" w:customStyle="1" w:styleId="apple-converted-space">
    <w:name w:val="apple-converted-space"/>
    <w:basedOn w:val="a0"/>
    <w:rsid w:val="00D755BB"/>
  </w:style>
  <w:style w:type="paragraph" w:styleId="a4">
    <w:name w:val="Normal (Web)"/>
    <w:basedOn w:val="a"/>
    <w:uiPriority w:val="99"/>
    <w:semiHidden/>
    <w:unhideWhenUsed/>
    <w:rsid w:val="00D755B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99407656">
      <w:bodyDiv w:val="1"/>
      <w:marLeft w:val="0"/>
      <w:marRight w:val="0"/>
      <w:marTop w:val="0"/>
      <w:marBottom w:val="0"/>
      <w:divBdr>
        <w:top w:val="none" w:sz="0" w:space="0" w:color="auto"/>
        <w:left w:val="none" w:sz="0" w:space="0" w:color="auto"/>
        <w:bottom w:val="none" w:sz="0" w:space="0" w:color="auto"/>
        <w:right w:val="none" w:sz="0" w:space="0" w:color="auto"/>
      </w:divBdr>
      <w:divsChild>
        <w:div w:id="1893615837">
          <w:marLeft w:val="0"/>
          <w:marRight w:val="0"/>
          <w:marTop w:val="0"/>
          <w:marBottom w:val="0"/>
          <w:divBdr>
            <w:top w:val="none" w:sz="0" w:space="0" w:color="auto"/>
            <w:left w:val="none" w:sz="0" w:space="0" w:color="auto"/>
            <w:bottom w:val="none" w:sz="0" w:space="0" w:color="auto"/>
            <w:right w:val="none" w:sz="0" w:space="0" w:color="auto"/>
          </w:divBdr>
        </w:div>
        <w:div w:id="1971128081">
          <w:marLeft w:val="0"/>
          <w:marRight w:val="0"/>
          <w:marTop w:val="0"/>
          <w:marBottom w:val="0"/>
          <w:divBdr>
            <w:top w:val="none" w:sz="0" w:space="0" w:color="auto"/>
            <w:left w:val="none" w:sz="0" w:space="0" w:color="auto"/>
            <w:bottom w:val="none" w:sz="0" w:space="0" w:color="auto"/>
            <w:right w:val="none" w:sz="0" w:space="0" w:color="auto"/>
          </w:divBdr>
        </w:div>
      </w:divsChild>
    </w:div>
    <w:div w:id="470367747">
      <w:bodyDiv w:val="1"/>
      <w:marLeft w:val="0"/>
      <w:marRight w:val="0"/>
      <w:marTop w:val="0"/>
      <w:marBottom w:val="0"/>
      <w:divBdr>
        <w:top w:val="none" w:sz="0" w:space="0" w:color="auto"/>
        <w:left w:val="none" w:sz="0" w:space="0" w:color="auto"/>
        <w:bottom w:val="none" w:sz="0" w:space="0" w:color="auto"/>
        <w:right w:val="none" w:sz="0" w:space="0" w:color="auto"/>
      </w:divBdr>
      <w:divsChild>
        <w:div w:id="1072973118">
          <w:marLeft w:val="0"/>
          <w:marRight w:val="0"/>
          <w:marTop w:val="0"/>
          <w:marBottom w:val="0"/>
          <w:divBdr>
            <w:top w:val="none" w:sz="0" w:space="0" w:color="auto"/>
            <w:left w:val="none" w:sz="0" w:space="0" w:color="auto"/>
            <w:bottom w:val="none" w:sz="0" w:space="0" w:color="auto"/>
            <w:right w:val="none" w:sz="0" w:space="0" w:color="auto"/>
          </w:divBdr>
        </w:div>
        <w:div w:id="2104111014">
          <w:marLeft w:val="0"/>
          <w:marRight w:val="0"/>
          <w:marTop w:val="0"/>
          <w:marBottom w:val="0"/>
          <w:divBdr>
            <w:top w:val="none" w:sz="0" w:space="0" w:color="auto"/>
            <w:left w:val="none" w:sz="0" w:space="0" w:color="auto"/>
            <w:bottom w:val="none" w:sz="0" w:space="0" w:color="auto"/>
            <w:right w:val="none" w:sz="0" w:space="0" w:color="auto"/>
          </w:divBdr>
        </w:div>
      </w:divsChild>
    </w:div>
    <w:div w:id="1196507006">
      <w:bodyDiv w:val="1"/>
      <w:marLeft w:val="0"/>
      <w:marRight w:val="0"/>
      <w:marTop w:val="0"/>
      <w:marBottom w:val="0"/>
      <w:divBdr>
        <w:top w:val="none" w:sz="0" w:space="0" w:color="auto"/>
        <w:left w:val="none" w:sz="0" w:space="0" w:color="auto"/>
        <w:bottom w:val="none" w:sz="0" w:space="0" w:color="auto"/>
        <w:right w:val="none" w:sz="0" w:space="0" w:color="auto"/>
      </w:divBdr>
      <w:divsChild>
        <w:div w:id="298189028">
          <w:marLeft w:val="0"/>
          <w:marRight w:val="0"/>
          <w:marTop w:val="0"/>
          <w:marBottom w:val="0"/>
          <w:divBdr>
            <w:top w:val="none" w:sz="0" w:space="0" w:color="auto"/>
            <w:left w:val="none" w:sz="0" w:space="0" w:color="auto"/>
            <w:bottom w:val="none" w:sz="0" w:space="0" w:color="auto"/>
            <w:right w:val="none" w:sz="0" w:space="0" w:color="auto"/>
          </w:divBdr>
        </w:div>
        <w:div w:id="553586124">
          <w:marLeft w:val="0"/>
          <w:marRight w:val="0"/>
          <w:marTop w:val="0"/>
          <w:marBottom w:val="0"/>
          <w:divBdr>
            <w:top w:val="none" w:sz="0" w:space="0" w:color="auto"/>
            <w:left w:val="none" w:sz="0" w:space="0" w:color="auto"/>
            <w:bottom w:val="none" w:sz="0" w:space="0" w:color="auto"/>
            <w:right w:val="none" w:sz="0" w:space="0" w:color="auto"/>
          </w:divBdr>
        </w:div>
      </w:divsChild>
    </w:div>
    <w:div w:id="1212116572">
      <w:bodyDiv w:val="1"/>
      <w:marLeft w:val="0"/>
      <w:marRight w:val="0"/>
      <w:marTop w:val="0"/>
      <w:marBottom w:val="0"/>
      <w:divBdr>
        <w:top w:val="none" w:sz="0" w:space="0" w:color="auto"/>
        <w:left w:val="none" w:sz="0" w:space="0" w:color="auto"/>
        <w:bottom w:val="none" w:sz="0" w:space="0" w:color="auto"/>
        <w:right w:val="none" w:sz="0" w:space="0" w:color="auto"/>
      </w:divBdr>
      <w:divsChild>
        <w:div w:id="1611083408">
          <w:marLeft w:val="0"/>
          <w:marRight w:val="0"/>
          <w:marTop w:val="0"/>
          <w:marBottom w:val="0"/>
          <w:divBdr>
            <w:top w:val="none" w:sz="0" w:space="0" w:color="auto"/>
            <w:left w:val="none" w:sz="0" w:space="0" w:color="auto"/>
            <w:bottom w:val="none" w:sz="0" w:space="0" w:color="auto"/>
            <w:right w:val="none" w:sz="0" w:space="0" w:color="auto"/>
          </w:divBdr>
        </w:div>
        <w:div w:id="1334576370">
          <w:marLeft w:val="0"/>
          <w:marRight w:val="0"/>
          <w:marTop w:val="0"/>
          <w:marBottom w:val="0"/>
          <w:divBdr>
            <w:top w:val="none" w:sz="0" w:space="0" w:color="auto"/>
            <w:left w:val="none" w:sz="0" w:space="0" w:color="auto"/>
            <w:bottom w:val="none" w:sz="0" w:space="0" w:color="auto"/>
            <w:right w:val="none" w:sz="0" w:space="0" w:color="auto"/>
          </w:divBdr>
        </w:div>
      </w:divsChild>
    </w:div>
    <w:div w:id="1508208061">
      <w:bodyDiv w:val="1"/>
      <w:marLeft w:val="0"/>
      <w:marRight w:val="0"/>
      <w:marTop w:val="0"/>
      <w:marBottom w:val="0"/>
      <w:divBdr>
        <w:top w:val="none" w:sz="0" w:space="0" w:color="auto"/>
        <w:left w:val="none" w:sz="0" w:space="0" w:color="auto"/>
        <w:bottom w:val="none" w:sz="0" w:space="0" w:color="auto"/>
        <w:right w:val="none" w:sz="0" w:space="0" w:color="auto"/>
      </w:divBdr>
      <w:divsChild>
        <w:div w:id="936987967">
          <w:marLeft w:val="0"/>
          <w:marRight w:val="0"/>
          <w:marTop w:val="0"/>
          <w:marBottom w:val="0"/>
          <w:divBdr>
            <w:top w:val="none" w:sz="0" w:space="0" w:color="auto"/>
            <w:left w:val="none" w:sz="0" w:space="0" w:color="auto"/>
            <w:bottom w:val="none" w:sz="0" w:space="0" w:color="auto"/>
            <w:right w:val="none" w:sz="0" w:space="0" w:color="auto"/>
          </w:divBdr>
        </w:div>
        <w:div w:id="4487400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akonrf.info/nk/171/" TargetMode="External"/><Relationship Id="rId5" Type="http://schemas.openxmlformats.org/officeDocument/2006/relationships/hyperlink" Target="http://www.zakonrf.info/nk/gl21/" TargetMode="External"/><Relationship Id="rId4" Type="http://schemas.openxmlformats.org/officeDocument/2006/relationships/hyperlink" Target="http://www.zakonrf.info/n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1400</Words>
  <Characters>7983</Characters>
  <Application>Microsoft Office Word</Application>
  <DocSecurity>0</DocSecurity>
  <Lines>66</Lines>
  <Paragraphs>18</Paragraphs>
  <ScaleCrop>false</ScaleCrop>
  <Company>Melkosoft</Company>
  <LinksUpToDate>false</LinksUpToDate>
  <CharactersWithSpaces>9365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dcterms:created xsi:type="dcterms:W3CDTF">2017-03-17T17:02:00Z</dcterms:created>
  <dcterms:modified xsi:type="dcterms:W3CDTF">2017-03-17T17:41:00Z</dcterms:modified>
</cp:coreProperties>
</file>