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2B" w:rsidRDefault="00272D2B" w:rsidP="00272D2B">
      <w:pPr>
        <w:pStyle w:val="2"/>
        <w:rPr>
          <w:sz w:val="20"/>
          <w:szCs w:val="20"/>
        </w:rPr>
      </w:pPr>
      <w:bookmarkStart w:id="0" w:name="_GoBack"/>
      <w:r>
        <w:rPr>
          <w:sz w:val="20"/>
          <w:szCs w:val="20"/>
        </w:rPr>
        <w:t>Статья 286. Порядок исчисления налога и авансовых платежей</w:t>
      </w:r>
    </w:p>
    <w:bookmarkEnd w:id="0"/>
    <w:p w:rsidR="00272D2B" w:rsidRDefault="00272D2B" w:rsidP="00272D2B">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Налог на прибыль организаций" w:history="1">
        <w:r>
          <w:rPr>
            <w:rStyle w:val="a3"/>
            <w:b/>
            <w:bCs/>
            <w:color w:val="707070"/>
            <w:sz w:val="20"/>
            <w:szCs w:val="20"/>
            <w:u w:val="none"/>
          </w:rPr>
          <w:t>[Глава 25]</w:t>
        </w:r>
      </w:hyperlink>
      <w:r>
        <w:rPr>
          <w:rStyle w:val="apple-converted-space"/>
        </w:rPr>
        <w:t> </w:t>
      </w:r>
      <w:hyperlink r:id="rId5" w:tooltip="Порядок исчисления налога и авансовых платежей" w:history="1">
        <w:r>
          <w:rPr>
            <w:rStyle w:val="a3"/>
            <w:b/>
            <w:bCs/>
            <w:color w:val="707070"/>
            <w:sz w:val="20"/>
            <w:szCs w:val="20"/>
            <w:u w:val="none"/>
          </w:rPr>
          <w:t>[Статья 286]</w:t>
        </w:r>
      </w:hyperlink>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Налог определяется как соответствующая налоговой ставке процентная доля налоговой базы, определяемой в соответствии со статьей 274 настоящего Кодекса.</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Если иное не установлено пунктами 4, 5 и 7 настоящей статьи, сумма налога по итогам налогового периода определяется налогоплательщиком самостоятельно.</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 итогам каждого отчетного (налогового) периода, если иное не предусмотрено настоящей статьей, налогоплательщики исчисляют сумму авансового платежа, исходя из ставки налога и прибыли, подлежащей налогообложению, рассчитанной нарастающим итогом с начала налогового периода до окончания отчетного (налогового) периода. В течение отчетного периода налогоплательщики исчисляют сумму ежемесячного авансового платежа в порядке, установленном настоящей статьей.</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Сумма ежемесячного авансового платежа, подлежащего уплате в первом квартале текущего налогового периода, принимается равной сумме ежемесячного авансового платежа, подлежащего уплате налогоплательщиком в последнем квартале предыдущего налогового периода. Сумма ежемесячного авансового платежа, подлежащего уплате во втором квартале текущего налогового периода, принимается равной одной трети суммы авансового платежа, исчисленного за первый отчетный период текущего года.</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Сумма ежемесячного авансового платежа, подлежащего уплате в третьем квартале текущего налогового периода, принимается равной одной трети разницы между суммой авансового платежа, рассчитанной по итогам полугодия, и суммой авансового платежа, рассчитанной по итогам первого квартала.</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Сумма ежемесячного авансового платежа, подлежащего уплате в четвертом квартале текущего налогового периода, принимается равной одной трети разницы между суммой авансового платежа, рассчитанной по итогам девяти месяцев, и суммой авансового платежа, рассчитанной по итогам полугодия.</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Если рассчитанная таким образом сумма ежемесячного авансового платежа отрицательна или равна нулю, указанные платежи в соответствующем квартале не осуществляются.</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Налогоплательщики имеют право перейти на исчисление ежемесячных авансовых платежей исходя из фактически полученной прибыли, подлежащей исчислению. В этом случае исчисление сумм авансовых платежей производится налогоплательщиками исходя из ставки налога и фактически полученной прибыли, рассчитываемой нарастающим итогом с начала налогового периода до окончания соответствующего месяца.</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этом сумма авансовых платежей (сумма налога), подлежащая уплате в бюджет, определяется с учетом ранее начисленных сумм авансовых платежей. Налогоплательщик вправе перейти на уплату ежемесячных авансовых платежей исходя из фактической прибыли, уведомив об этом налоговый орган не позднее 31 декабря года, предшествующего налоговому периоду, в котором происходит переход на эту систему уплаты авансовых платежей. При этом система уплаты авансовых платежей не может изменяться налогоплательщиком в течение налогового периода. Указанный в настоящем абзаце порядок применяется также и в случае перехода с уплаты ежемесячных авансовых платежей исходя из фактической прибыли на уплату ежемесячных авансовых платежей в течение отчетного периода.</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консолидированной группе налогоплательщиков сумма авансового платежа по этой группе исчисляется и уплачивается ответственным участником в соответствии с правилами, установленными настоящей статьей.</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При переходе налогоплательщика, исчислявшего ежемесячные авансовые платежи исходя из фактически полученной прибыли, на уплату ежемесячных авансовых платежей в течение отчетного периода сумма указанного ежемесячного платежа, подлежащего уплате в первом квартале налогового периода, принимается равной одной трети разницы между суммой </w:t>
      </w:r>
      <w:r>
        <w:rPr>
          <w:rFonts w:ascii="Arial" w:hAnsi="Arial" w:cs="Arial"/>
          <w:color w:val="000000"/>
          <w:sz w:val="20"/>
          <w:szCs w:val="20"/>
        </w:rPr>
        <w:lastRenderedPageBreak/>
        <w:t>авансового платежа, рассчитанной по итогам девяти месяцев, и суммой авансового платежа, рассчитанной по итогам полугодия предыдущего налогового периода.</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Организации, у которых за предыдущие четыре квартала доходы от реализации, определяемые в соответствии со статьей 249 настоящего Кодекса, не превышали в среднем 15 миллионов рублей за каждый квартал, а также бюджетные учреждения (за исключением театров, музеев, библиотек, концертных организаций), автономные учреждения, иностранные организации, осуществляющие деятельность в Российской Федерации через постоянное представительство, некоммерческие организации, не имеющие дохода от реализации товаров (работ, услуг), участники простых товариществ, инвестиционных товариществ в отношении доходов, получаемых ими от участия в простых товариществах, в инвестиционных товариществах, инвесторы соглашений о разделе продукции в части доходов, полученных от реализации указанных соглашений, выгодоприобретатели по договорам доверительного управления уплачивают только квартальные авансовые платежи по итогам отчетного периода.</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Театры, музеи, библиотеки, концертные организации, являющиеся бюджетными учреждениями, не исчисляют и не уплачивают авансовые платежи.</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Если налогоплательщиком является иностранная организация, получающая доходы от источников в Российской Федерации, не связанные с постоянным представительством в Российской Федерации, обязанность по определению суммы налога, удержанию этой суммы из доходов налогоплательщика и перечислению налога в бюджет возлагается на российскую организацию или иностранную организацию, осуществляющую деятельность в Российской Федерации через постоянное представительство (налоговых агентов), выплачивающих указанный доход налогоплательщику.</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Налоговый агент определяет сумму налога по каждой выплате (перечислению) денежных средств или иному получению дохода.</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Российские организации, выплачивающие налогоплательщикам доходы в виде дивидендов, а также в виде процентов по государственным и муниципальным ценным бумагам, подлежащим налогообложению в соответствии с настоящей главой, определяют сумму налога отдельно по каждому такому налогоплательщику применительно к каждой выплате указанных доходов:</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если источником доходов налогоплательщика является российская организация, обязанность удержать налог из доходов налогоплательщика и перечислить его в бюджет возлагается на этот источник доходов.</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этом случае налог в виде авансовых платежей удерживается из доходов налогоплательщика при каждой выплате таких доходов;</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при реализации государственных и муниципальных ценных бумаг,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налогоплательщик - получатель дохода самостоятельно осуществляет исчисление и уплату налога с таких доходов.</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реализации (выбытии) государственных и муниципальных ценных бумаг, при обращении которых не предусмотрено признание доходом, полученным продавцом в виде процентов, сумм накопленного процентного дохода (накопленного купонного дохода), налогоплательщик - получатель дохода самостоятельно осуществляет начисление и уплату налога с таких доходов, облагаемых по налоговой ставке, установленной пунктом 1 статьи 284 настоящего Кодекса, если иное не предусмотрено настоящим Кодексом.</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Информация о видах ценных бумаг, по которым применяется порядок, установленный настоящим пунктом, доводится до налогоплательщиков уполномоченным Правительством Российской Федерации федеральным органом исполнительной власти.</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Организации, созданные после вступления в силу настоящей главы, начинают уплачивать ежемесячные авансовые платежи по истечении полного квартала с даты их государственной регистрации.</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7. В консолидированной группе налогоплательщиков сумма налога по этой группе по итогам налогового периода определяется ответственным участником этой группы.</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Сумма ежемесячного авансового платежа по налогу, подлежащего уплате ответственным участником консолидированной группы налогоплательщиков в первом квартале налогового периода, в котором начала действовать эта группа, определяется как сумма ежемесячных авансовых платежей всех участников этой группы, подлежащих уплате в третьем квартале налогового периода, предшествующего созданию этой группы.</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В случаях, если в соответствии с законодательством о налогах и сборах договор о создании консолидированной группы налогоплательщиков регистрируется уполномоченным налоговым органом после начала налогового периода, уплаченные участниками консолидированной группы налогоплательщиков авансовые платежи по итогам истекших с начала налогового периода отчетных периодов подлежат зачету (возврату) соответствующему участнику консолидированной группы налогоплательщиков.</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этом пени на сумму недоимки, возникшей в результате определения консолидированной налоговой базы ответственным участником консолидированной группы налогоплательщиков по итогам истекших с начала налогового периода отчетных периодов, начисляются за каждый календарный день просрочки исполнения ответственным участником консолидированной группы налогоплательщиков обязанности по уплате налога (авансовых платежей), следующий за установленным настоящей статьей днем уплаты налога (авансовых платежей) по итогам отчетного (налогового) периода, в котором консолидированная группа была зарегистрирована.</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В случае осуществления налогоплательщиком вида предпринимательской деятельности, в отношении которого в соответствии с главой 33 настоящего Кодекса установлен торговый сбор, налогоплательщик вправе уменьшить сумму налога (авансового платежа), исчисленного по итогам налогового (отчетного) периода, зачисляемую в консолидированный бюджет субъекта Российской Федерации, в состав которого входит муниципальное образование (в бюджет города федерального значения Москвы, Санкт-Петербурга или Севастополя), в котором установлен указанный сбор, на сумму торгового сбора, фактически уплаченного с начала налогового периода до даты уплаты налога (авансового платежа).</w:t>
      </w:r>
    </w:p>
    <w:p w:rsidR="00272D2B" w:rsidRDefault="00272D2B" w:rsidP="00272D2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Положения настоящего пункта не применяются в случае непредставления налогоплательщиком в отношении объекта осуществления предпринимательской деятельности, по которому уплачен торговый сбор, уведомления о постановке на учет в качестве плательщика торгового сбора.</w:t>
      </w:r>
    </w:p>
    <w:p w:rsidR="005A0182" w:rsidRPr="00272D2B" w:rsidRDefault="005A0182" w:rsidP="00272D2B"/>
    <w:sectPr w:rsidR="005A0182" w:rsidRPr="00272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7B"/>
    <w:rsid w:val="00272D2B"/>
    <w:rsid w:val="00275817"/>
    <w:rsid w:val="002D01B7"/>
    <w:rsid w:val="005A0182"/>
    <w:rsid w:val="00B51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02688-4272-4ACA-89B5-B92174E3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D01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01B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D01B7"/>
    <w:rPr>
      <w:color w:val="0000FF"/>
      <w:u w:val="single"/>
    </w:rPr>
  </w:style>
  <w:style w:type="character" w:customStyle="1" w:styleId="apple-converted-space">
    <w:name w:val="apple-converted-space"/>
    <w:basedOn w:val="a0"/>
    <w:rsid w:val="002D01B7"/>
  </w:style>
  <w:style w:type="paragraph" w:styleId="a4">
    <w:name w:val="Normal (Web)"/>
    <w:basedOn w:val="a"/>
    <w:uiPriority w:val="99"/>
    <w:semiHidden/>
    <w:unhideWhenUsed/>
    <w:rsid w:val="002D01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94676">
      <w:bodyDiv w:val="1"/>
      <w:marLeft w:val="0"/>
      <w:marRight w:val="0"/>
      <w:marTop w:val="0"/>
      <w:marBottom w:val="0"/>
      <w:divBdr>
        <w:top w:val="none" w:sz="0" w:space="0" w:color="auto"/>
        <w:left w:val="none" w:sz="0" w:space="0" w:color="auto"/>
        <w:bottom w:val="none" w:sz="0" w:space="0" w:color="auto"/>
        <w:right w:val="none" w:sz="0" w:space="0" w:color="auto"/>
      </w:divBdr>
      <w:divsChild>
        <w:div w:id="1635210847">
          <w:marLeft w:val="0"/>
          <w:marRight w:val="0"/>
          <w:marTop w:val="0"/>
          <w:marBottom w:val="0"/>
          <w:divBdr>
            <w:top w:val="none" w:sz="0" w:space="0" w:color="auto"/>
            <w:left w:val="none" w:sz="0" w:space="0" w:color="auto"/>
            <w:bottom w:val="none" w:sz="0" w:space="0" w:color="auto"/>
            <w:right w:val="none" w:sz="0" w:space="0" w:color="auto"/>
          </w:divBdr>
        </w:div>
        <w:div w:id="464157332">
          <w:marLeft w:val="0"/>
          <w:marRight w:val="0"/>
          <w:marTop w:val="0"/>
          <w:marBottom w:val="0"/>
          <w:divBdr>
            <w:top w:val="none" w:sz="0" w:space="0" w:color="auto"/>
            <w:left w:val="none" w:sz="0" w:space="0" w:color="auto"/>
            <w:bottom w:val="none" w:sz="0" w:space="0" w:color="auto"/>
            <w:right w:val="none" w:sz="0" w:space="0" w:color="auto"/>
          </w:divBdr>
        </w:div>
      </w:divsChild>
    </w:div>
    <w:div w:id="678239153">
      <w:bodyDiv w:val="1"/>
      <w:marLeft w:val="0"/>
      <w:marRight w:val="0"/>
      <w:marTop w:val="0"/>
      <w:marBottom w:val="0"/>
      <w:divBdr>
        <w:top w:val="none" w:sz="0" w:space="0" w:color="auto"/>
        <w:left w:val="none" w:sz="0" w:space="0" w:color="auto"/>
        <w:bottom w:val="none" w:sz="0" w:space="0" w:color="auto"/>
        <w:right w:val="none" w:sz="0" w:space="0" w:color="auto"/>
      </w:divBdr>
      <w:divsChild>
        <w:div w:id="385108789">
          <w:marLeft w:val="0"/>
          <w:marRight w:val="0"/>
          <w:marTop w:val="0"/>
          <w:marBottom w:val="0"/>
          <w:divBdr>
            <w:top w:val="none" w:sz="0" w:space="0" w:color="auto"/>
            <w:left w:val="none" w:sz="0" w:space="0" w:color="auto"/>
            <w:bottom w:val="none" w:sz="0" w:space="0" w:color="auto"/>
            <w:right w:val="none" w:sz="0" w:space="0" w:color="auto"/>
          </w:divBdr>
        </w:div>
        <w:div w:id="1307517305">
          <w:marLeft w:val="0"/>
          <w:marRight w:val="0"/>
          <w:marTop w:val="0"/>
          <w:marBottom w:val="0"/>
          <w:divBdr>
            <w:top w:val="none" w:sz="0" w:space="0" w:color="auto"/>
            <w:left w:val="none" w:sz="0" w:space="0" w:color="auto"/>
            <w:bottom w:val="none" w:sz="0" w:space="0" w:color="auto"/>
            <w:right w:val="none" w:sz="0" w:space="0" w:color="auto"/>
          </w:divBdr>
        </w:div>
      </w:divsChild>
    </w:div>
    <w:div w:id="1307590653">
      <w:bodyDiv w:val="1"/>
      <w:marLeft w:val="0"/>
      <w:marRight w:val="0"/>
      <w:marTop w:val="0"/>
      <w:marBottom w:val="0"/>
      <w:divBdr>
        <w:top w:val="none" w:sz="0" w:space="0" w:color="auto"/>
        <w:left w:val="none" w:sz="0" w:space="0" w:color="auto"/>
        <w:bottom w:val="none" w:sz="0" w:space="0" w:color="auto"/>
        <w:right w:val="none" w:sz="0" w:space="0" w:color="auto"/>
      </w:divBdr>
      <w:divsChild>
        <w:div w:id="1445687360">
          <w:marLeft w:val="0"/>
          <w:marRight w:val="0"/>
          <w:marTop w:val="0"/>
          <w:marBottom w:val="0"/>
          <w:divBdr>
            <w:top w:val="none" w:sz="0" w:space="0" w:color="auto"/>
            <w:left w:val="none" w:sz="0" w:space="0" w:color="auto"/>
            <w:bottom w:val="none" w:sz="0" w:space="0" w:color="auto"/>
            <w:right w:val="none" w:sz="0" w:space="0" w:color="auto"/>
          </w:divBdr>
        </w:div>
        <w:div w:id="193458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286/" TargetMode="External"/><Relationship Id="rId4" Type="http://schemas.openxmlformats.org/officeDocument/2006/relationships/hyperlink" Target="http://www.zakonrf.info/nk/gl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1534</Words>
  <Characters>8746</Characters>
  <Application>Microsoft Office Word</Application>
  <DocSecurity>0</DocSecurity>
  <Lines>72</Lines>
  <Paragraphs>20</Paragraphs>
  <ScaleCrop>false</ScaleCrop>
  <Company>SPecialiST RePack</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2017-03-24T17:12:00Z</dcterms:created>
  <dcterms:modified xsi:type="dcterms:W3CDTF">2017-03-25T14:08:00Z</dcterms:modified>
</cp:coreProperties>
</file>