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1DD" w:rsidRDefault="004351DD" w:rsidP="004351DD">
      <w:pPr>
        <w:pStyle w:val="2"/>
        <w:rPr>
          <w:sz w:val="20"/>
          <w:szCs w:val="20"/>
        </w:rPr>
      </w:pPr>
      <w:bookmarkStart w:id="0" w:name="_GoBack"/>
      <w:r>
        <w:rPr>
          <w:sz w:val="20"/>
          <w:szCs w:val="20"/>
        </w:rPr>
        <w:t>Статья 31. Права налоговых органов</w:t>
      </w:r>
    </w:p>
    <w:bookmarkEnd w:id="0"/>
    <w:p w:rsidR="004351DD" w:rsidRDefault="004351DD" w:rsidP="004351DD">
      <w:pPr>
        <w:rPr>
          <w:sz w:val="24"/>
          <w:szCs w:val="24"/>
        </w:rPr>
      </w:pPr>
      <w:r>
        <w:fldChar w:fldCharType="begin"/>
      </w:r>
      <w:r>
        <w:instrText xml:space="preserve"> HYPERLINK "http://www.zakonrf.info/nk/" \o "Налоговый кодекс РФ" </w:instrText>
      </w:r>
      <w:r>
        <w:fldChar w:fldCharType="separate"/>
      </w:r>
      <w:r>
        <w:rPr>
          <w:rStyle w:val="a3"/>
          <w:b/>
          <w:bCs/>
          <w:color w:val="707070"/>
          <w:sz w:val="20"/>
          <w:szCs w:val="20"/>
        </w:rPr>
        <w:t>[Налоговый кодекс РФ]</w:t>
      </w:r>
      <w:r>
        <w:fldChar w:fldCharType="end"/>
      </w:r>
      <w:r>
        <w:rPr>
          <w:rStyle w:val="apple-converted-space"/>
        </w:rPr>
        <w:t> </w:t>
      </w:r>
      <w:hyperlink r:id="rId4" w:tooltip="Налоговые органы. Таможенные органы. Финансовые органы. Ответственность налоговых органов, таможенных органов, их должностных лиц" w:history="1">
        <w:r>
          <w:rPr>
            <w:rStyle w:val="a3"/>
            <w:b/>
            <w:bCs/>
            <w:color w:val="707070"/>
            <w:sz w:val="20"/>
            <w:szCs w:val="20"/>
          </w:rPr>
          <w:t>[Глава 5]</w:t>
        </w:r>
      </w:hyperlink>
      <w:r>
        <w:rPr>
          <w:rStyle w:val="apple-converted-space"/>
        </w:rPr>
        <w:t> </w:t>
      </w:r>
      <w:hyperlink r:id="rId5" w:tooltip="Права налоговых органов" w:history="1">
        <w:r>
          <w:rPr>
            <w:rStyle w:val="a3"/>
            <w:b/>
            <w:bCs/>
            <w:color w:val="707070"/>
            <w:sz w:val="20"/>
            <w:szCs w:val="20"/>
          </w:rPr>
          <w:t>[Статья 31]</w:t>
        </w:r>
      </w:hyperlink>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Налоговые органы вправе:</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требовать в соответствии с законодательством о налогах и сборах от налогоплательщика, плательщика сбора или налогового агента документы по формам и (или) форматам в электронной форме,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сборов;</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проводить налоговые проверки в порядке, установленном настоящим Кодексом;</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2.1) контролировать исполнение банками обязанностей, установленных настоящим Кодексом. Порядок контроля за исполнением банками обязанностей, установленных настоящим Кодексом, утверждается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вызывать на основании письменного уведомления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приостанавливать операции по счетам налогоплательщика, плательщика сбора или налогового агента в банках и налагать арест на имущество налогоплательщика, плательщика сбора или налогового агента в порядке, предусмотренном настоящим Кодексом;</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в порядке, предусмотренном статьей 92 настоящего Кодекса,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 Порядок проведения инвентаризации имущества налогоплательщика при налоговой проверке утверждается Министерством финансов Российской Федерации;</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ведения учета с нарушением установленного порядка, приведшего к невозможности исчислить налоги, или непредставления налогоплательщиком - иностранной организацией, не осуществляющей деятельность на территории Российской Федерации через постоянное представительство, налоговой декларации по налогу на имущество организаций;</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9) взыскивать недоимки, а также пени, проценты и штрафы в случаях и порядке, которые установлены настоящим Кодексом;</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10) 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11) привлекать для проведения налогового контроля специалистов, экспертов и переводчиков;</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13) заявлять ходатайства об аннулировании или о приостановлении действия выданных юридическим и физическим лицам лицензий на право осуществления определенных видов деятельности;</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14) предъявлять в суды общей юрисдикции, Верховный Суд Российской Федерации или арбитражные суды иски (заявления):</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 взыскании недоимки, пеней и штрафов за налоговые правонарушения в случаях, предусмотренных настоящим Кодексом;</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 возмещении ущерба, причиненного государству и (или) муниципальному образованию вследствие неправомерных действий банка по списанию денежных средств со счета налогоплательщика после получения решения налогового органа о приостановлении операций, в результате которых стало невозможным взыскание налоговым органом недоимки, задолженности по пеням, штрафам с налогоплательщика в порядке, предусмотренном настоящим Кодексом;</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 досрочном расторжении договора об инвестиционном налоговом кредите;</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иных случаях, предусмотренных настоящим Кодексом;</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15) восстанавливать в случае, предусмотренном пунктом 1.1 статьи 59 настоящего Кодекса, суммы недоимки, задолженности по пеням и штрафам, признанных безнадежными к взысканию.</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Налоговые органы осуществляют также другие права, предусмотренные настоящим Кодексом.</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2.1. Права, предусмотренные настоящим Кодексом в отношении налогоплательщиков, налоговые органы также осуществляют в отношении плательщиков страховых взносов.</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Вышестоящие налоговые органы вправе отменять и изменять решения нижестоящих налоговых органов в случае несоответствия указанных решений законодательству о налогах и сборах.</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Формы и форматы документов, предусмотренных настоящим Кодексом и используемых налоговыми органами при реализации своих полномочий в отношениях, регулируемых законодательством о налогах и сборах, документов, необходимых для обеспечения электронного документооборота в отношениях, регулируемых законодательством о налогах и сборах, а также порядок заполнения форм указанных документов и порядок направления и получения таких документов на бумажном носителе или в электронной форме по телекоммуникационным каналам связи либо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 если полномочия по их утверждению не возложены настоящим Кодексом на иной федеральный орган исполнительной власти.</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непосредственно под расписку,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если порядок их передачи прямо не предусмотрен настоящим Кодексом. Лицам, на которых настоящим Кодексом возложена обязанность представлять налоговую декларацию (расчет) в электронной форме, указанные документы направляются налоговым органом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направления документа налоговым органом через личный кабинет налогоплательщика датой его получения считается день, следующий за днем размещения документа в личном кабинете налогоплательщика.</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Документ в электронной форме, подписанный автоматически созданной электронной подписью налогового органа, признается равнозначным документу на бумажном носителе, подписанному собственноручной подписью должностного лица налогового органа.</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В случае направления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по почте такие документы направляются налоговым органом:</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налогоплательщику - российской организации (ее филиалу, представительству) - по адресу места ее нахождения (места нахождения ее филиала, представительства), содержащемуся в Едином государственном реестре юридических лиц;</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налогоплательщику - иностранной организации - по адресу места осуществления им деятельности на территории Российской Федерации, содержащемуся в Едином государственном реестре налогоплательщиков;</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налогоплательщику -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подразделение, -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налогоплательщику - иностранной организации, не осуществляющей деятельность на территории Российской Федерации через постоянное представительство и имеющей на территории Российской Федерации объект недвижимого имущества на праве собственности, - по адресу места нахождения указанного объекта недвижимого имущества или по предоставленному налоговому органу адресу;</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налогоплательщику - индивидуальному предпринимателю, нотариусу, занимающемуся частной практикой, адвокату, учредившему адвокатский кабинет, физическому лицу, не являющемуся индивидуальным предпринимателем, - по адресу места его жительства (места пребывания) или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Форма заявления о предоставлении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утверждается федеральным органом исполнительной власти, уполномоченным по контролю и надзору в области налогов и сборов.</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налоговым органом иностранной организации, состоящей на учете в налоговом органе в соответствии с пунктом 4.6 статьи 83 настоящего Кодекса, в электронной форме через личный кабинет налогоплательщика.</w:t>
      </w:r>
    </w:p>
    <w:p w:rsidR="004351DD" w:rsidRDefault="004351DD" w:rsidP="004351DD">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 предоставления иностранной организации, подлежащей постановке на учет в налоговом органе в соответствии с пунктом 4.6 статьи 83 настоящего Кодекса, доступа к личному кабинету налогоплательщика в соответствии с абзацем вторым пункта 3 статьи 11.2 настоящего Кодекса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по любому известному налоговому органу адресу электронной почты такой иностранной организации. В этом случае датой получения иностранной организацией соответствующего документа считается день, следующий за днем его передачи по адресу электронной почты.</w:t>
      </w:r>
    </w:p>
    <w:p w:rsidR="00924A40" w:rsidRPr="004351DD" w:rsidRDefault="00924A40" w:rsidP="004351DD"/>
    <w:sectPr w:rsidR="00924A40" w:rsidRPr="00435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E3"/>
    <w:rsid w:val="0010132A"/>
    <w:rsid w:val="002829A1"/>
    <w:rsid w:val="004351DD"/>
    <w:rsid w:val="0079602C"/>
    <w:rsid w:val="00924A40"/>
    <w:rsid w:val="00B56085"/>
    <w:rsid w:val="00DA79E3"/>
    <w:rsid w:val="00F2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F793E-9CFE-4A76-AA2D-D0E29691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013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F25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F25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5AA3"/>
  </w:style>
  <w:style w:type="character" w:styleId="a3">
    <w:name w:val="Hyperlink"/>
    <w:basedOn w:val="a0"/>
    <w:uiPriority w:val="99"/>
    <w:semiHidden/>
    <w:unhideWhenUsed/>
    <w:rsid w:val="00F25AA3"/>
    <w:rPr>
      <w:color w:val="0000FF"/>
      <w:u w:val="single"/>
    </w:rPr>
  </w:style>
  <w:style w:type="paragraph" w:customStyle="1" w:styleId="pr">
    <w:name w:val="pr"/>
    <w:basedOn w:val="a"/>
    <w:rsid w:val="00F25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0132A"/>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1013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1725">
      <w:bodyDiv w:val="1"/>
      <w:marLeft w:val="0"/>
      <w:marRight w:val="0"/>
      <w:marTop w:val="0"/>
      <w:marBottom w:val="0"/>
      <w:divBdr>
        <w:top w:val="none" w:sz="0" w:space="0" w:color="auto"/>
        <w:left w:val="none" w:sz="0" w:space="0" w:color="auto"/>
        <w:bottom w:val="none" w:sz="0" w:space="0" w:color="auto"/>
        <w:right w:val="none" w:sz="0" w:space="0" w:color="auto"/>
      </w:divBdr>
    </w:div>
    <w:div w:id="588927909">
      <w:bodyDiv w:val="1"/>
      <w:marLeft w:val="0"/>
      <w:marRight w:val="0"/>
      <w:marTop w:val="0"/>
      <w:marBottom w:val="0"/>
      <w:divBdr>
        <w:top w:val="none" w:sz="0" w:space="0" w:color="auto"/>
        <w:left w:val="none" w:sz="0" w:space="0" w:color="auto"/>
        <w:bottom w:val="none" w:sz="0" w:space="0" w:color="auto"/>
        <w:right w:val="none" w:sz="0" w:space="0" w:color="auto"/>
      </w:divBdr>
      <w:divsChild>
        <w:div w:id="426734263">
          <w:marLeft w:val="0"/>
          <w:marRight w:val="0"/>
          <w:marTop w:val="0"/>
          <w:marBottom w:val="0"/>
          <w:divBdr>
            <w:top w:val="none" w:sz="0" w:space="0" w:color="auto"/>
            <w:left w:val="none" w:sz="0" w:space="0" w:color="auto"/>
            <w:bottom w:val="none" w:sz="0" w:space="0" w:color="auto"/>
            <w:right w:val="none" w:sz="0" w:space="0" w:color="auto"/>
          </w:divBdr>
        </w:div>
        <w:div w:id="2051298701">
          <w:marLeft w:val="0"/>
          <w:marRight w:val="0"/>
          <w:marTop w:val="0"/>
          <w:marBottom w:val="0"/>
          <w:divBdr>
            <w:top w:val="none" w:sz="0" w:space="0" w:color="auto"/>
            <w:left w:val="none" w:sz="0" w:space="0" w:color="auto"/>
            <w:bottom w:val="none" w:sz="0" w:space="0" w:color="auto"/>
            <w:right w:val="none" w:sz="0" w:space="0" w:color="auto"/>
          </w:divBdr>
        </w:div>
      </w:divsChild>
    </w:div>
    <w:div w:id="1031884401">
      <w:bodyDiv w:val="1"/>
      <w:marLeft w:val="0"/>
      <w:marRight w:val="0"/>
      <w:marTop w:val="0"/>
      <w:marBottom w:val="0"/>
      <w:divBdr>
        <w:top w:val="none" w:sz="0" w:space="0" w:color="auto"/>
        <w:left w:val="none" w:sz="0" w:space="0" w:color="auto"/>
        <w:bottom w:val="none" w:sz="0" w:space="0" w:color="auto"/>
        <w:right w:val="none" w:sz="0" w:space="0" w:color="auto"/>
      </w:divBdr>
      <w:divsChild>
        <w:div w:id="1982224861">
          <w:marLeft w:val="0"/>
          <w:marRight w:val="0"/>
          <w:marTop w:val="0"/>
          <w:marBottom w:val="0"/>
          <w:divBdr>
            <w:top w:val="none" w:sz="0" w:space="0" w:color="auto"/>
            <w:left w:val="none" w:sz="0" w:space="0" w:color="auto"/>
            <w:bottom w:val="none" w:sz="0" w:space="0" w:color="auto"/>
            <w:right w:val="none" w:sz="0" w:space="0" w:color="auto"/>
          </w:divBdr>
        </w:div>
        <w:div w:id="332294330">
          <w:marLeft w:val="0"/>
          <w:marRight w:val="0"/>
          <w:marTop w:val="0"/>
          <w:marBottom w:val="0"/>
          <w:divBdr>
            <w:top w:val="none" w:sz="0" w:space="0" w:color="auto"/>
            <w:left w:val="none" w:sz="0" w:space="0" w:color="auto"/>
            <w:bottom w:val="none" w:sz="0" w:space="0" w:color="auto"/>
            <w:right w:val="none" w:sz="0" w:space="0" w:color="auto"/>
          </w:divBdr>
        </w:div>
      </w:divsChild>
    </w:div>
    <w:div w:id="1099060276">
      <w:bodyDiv w:val="1"/>
      <w:marLeft w:val="0"/>
      <w:marRight w:val="0"/>
      <w:marTop w:val="0"/>
      <w:marBottom w:val="0"/>
      <w:divBdr>
        <w:top w:val="none" w:sz="0" w:space="0" w:color="auto"/>
        <w:left w:val="none" w:sz="0" w:space="0" w:color="auto"/>
        <w:bottom w:val="none" w:sz="0" w:space="0" w:color="auto"/>
        <w:right w:val="none" w:sz="0" w:space="0" w:color="auto"/>
      </w:divBdr>
      <w:divsChild>
        <w:div w:id="1095856225">
          <w:marLeft w:val="0"/>
          <w:marRight w:val="0"/>
          <w:marTop w:val="0"/>
          <w:marBottom w:val="0"/>
          <w:divBdr>
            <w:top w:val="none" w:sz="0" w:space="0" w:color="auto"/>
            <w:left w:val="none" w:sz="0" w:space="0" w:color="auto"/>
            <w:bottom w:val="none" w:sz="0" w:space="0" w:color="auto"/>
            <w:right w:val="none" w:sz="0" w:space="0" w:color="auto"/>
          </w:divBdr>
        </w:div>
        <w:div w:id="1460486951">
          <w:marLeft w:val="0"/>
          <w:marRight w:val="0"/>
          <w:marTop w:val="0"/>
          <w:marBottom w:val="0"/>
          <w:divBdr>
            <w:top w:val="none" w:sz="0" w:space="0" w:color="auto"/>
            <w:left w:val="none" w:sz="0" w:space="0" w:color="auto"/>
            <w:bottom w:val="none" w:sz="0" w:space="0" w:color="auto"/>
            <w:right w:val="none" w:sz="0" w:space="0" w:color="auto"/>
          </w:divBdr>
        </w:div>
      </w:divsChild>
    </w:div>
    <w:div w:id="1351446003">
      <w:bodyDiv w:val="1"/>
      <w:marLeft w:val="0"/>
      <w:marRight w:val="0"/>
      <w:marTop w:val="0"/>
      <w:marBottom w:val="0"/>
      <w:divBdr>
        <w:top w:val="none" w:sz="0" w:space="0" w:color="auto"/>
        <w:left w:val="none" w:sz="0" w:space="0" w:color="auto"/>
        <w:bottom w:val="none" w:sz="0" w:space="0" w:color="auto"/>
        <w:right w:val="none" w:sz="0" w:space="0" w:color="auto"/>
      </w:divBdr>
      <w:divsChild>
        <w:div w:id="1946303976">
          <w:marLeft w:val="0"/>
          <w:marRight w:val="0"/>
          <w:marTop w:val="0"/>
          <w:marBottom w:val="0"/>
          <w:divBdr>
            <w:top w:val="none" w:sz="0" w:space="0" w:color="auto"/>
            <w:left w:val="none" w:sz="0" w:space="0" w:color="auto"/>
            <w:bottom w:val="none" w:sz="0" w:space="0" w:color="auto"/>
            <w:right w:val="none" w:sz="0" w:space="0" w:color="auto"/>
          </w:divBdr>
        </w:div>
        <w:div w:id="35665539">
          <w:marLeft w:val="0"/>
          <w:marRight w:val="0"/>
          <w:marTop w:val="0"/>
          <w:marBottom w:val="0"/>
          <w:divBdr>
            <w:top w:val="none" w:sz="0" w:space="0" w:color="auto"/>
            <w:left w:val="none" w:sz="0" w:space="0" w:color="auto"/>
            <w:bottom w:val="none" w:sz="0" w:space="0" w:color="auto"/>
            <w:right w:val="none" w:sz="0" w:space="0" w:color="auto"/>
          </w:divBdr>
        </w:div>
      </w:divsChild>
    </w:div>
    <w:div w:id="1852991637">
      <w:bodyDiv w:val="1"/>
      <w:marLeft w:val="0"/>
      <w:marRight w:val="0"/>
      <w:marTop w:val="0"/>
      <w:marBottom w:val="0"/>
      <w:divBdr>
        <w:top w:val="none" w:sz="0" w:space="0" w:color="auto"/>
        <w:left w:val="none" w:sz="0" w:space="0" w:color="auto"/>
        <w:bottom w:val="none" w:sz="0" w:space="0" w:color="auto"/>
        <w:right w:val="none" w:sz="0" w:space="0" w:color="auto"/>
      </w:divBdr>
      <w:divsChild>
        <w:div w:id="1700593687">
          <w:marLeft w:val="0"/>
          <w:marRight w:val="0"/>
          <w:marTop w:val="0"/>
          <w:marBottom w:val="0"/>
          <w:divBdr>
            <w:top w:val="none" w:sz="0" w:space="0" w:color="auto"/>
            <w:left w:val="none" w:sz="0" w:space="0" w:color="auto"/>
            <w:bottom w:val="none" w:sz="0" w:space="0" w:color="auto"/>
            <w:right w:val="none" w:sz="0" w:space="0" w:color="auto"/>
          </w:divBdr>
        </w:div>
        <w:div w:id="1760633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nk/31/" TargetMode="External"/><Relationship Id="rId4" Type="http://schemas.openxmlformats.org/officeDocument/2006/relationships/hyperlink" Target="http://www.zakonrf.info/nk/gl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1725</Words>
  <Characters>9833</Characters>
  <Application>Microsoft Office Word</Application>
  <DocSecurity>0</DocSecurity>
  <Lines>81</Lines>
  <Paragraphs>23</Paragraphs>
  <ScaleCrop>false</ScaleCrop>
  <Company>SPecialiST RePack</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2017-03-31T16:53:00Z</dcterms:created>
  <dcterms:modified xsi:type="dcterms:W3CDTF">2017-03-31T17:38:00Z</dcterms:modified>
</cp:coreProperties>
</file>