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DC" w:rsidRDefault="005406DC" w:rsidP="005406DC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346.43. Общие положения</w:t>
      </w:r>
    </w:p>
    <w:bookmarkEnd w:id="0"/>
    <w:p w:rsidR="005406DC" w:rsidRDefault="005406DC" w:rsidP="005406DC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Патентная система налогооб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26.5]</w:t>
        </w:r>
      </w:hyperlink>
      <w:r>
        <w:rPr>
          <w:rStyle w:val="apple-converted-space"/>
        </w:rPr>
        <w:t> </w:t>
      </w:r>
      <w:hyperlink r:id="rId5" w:tooltip="Общие по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346.43]</w:t>
        </w:r>
      </w:hyperlink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Патентная система налогообложения устанавливается настоящим Кодексом, вводится в действие в соответствии с настоящим Кодексом законами субъектов Российской Федерации и применяется на территориях указанных субъектов Российской Федерации.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Патентная система налогообложения применяется индивидуальными предпринимателями наряду с иными режимами налогообложения, предусмотренными законодательством Российской Федерации о налогах и сборах.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Патентная система налогообложения применяется в отношении следующих видов предпринимательской деятельности: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ремонт, чистка, окраска и пошив обуви;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парикмахерские и косметические услуги;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химическая чистка, крашение и услуги прачечных;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изготовление и ремонт металлической галантереи, ключей, номерных знаков, указателей улиц;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ремонт мебели;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услуги фотоателье, фото- и кинолабораторий;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техническое обслуживание и ремонт автотранспортных и мототранспортных средств, машин и оборудования;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оказание автотранспортных услуг по перевозке грузов автомобильным транспортом;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оказание автотранспортных услуг по перевозке пассажиров автомобильным транспортом;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ремонт жилья и других построек;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услуги по производству монтажных, электромонтажных, санитарно-технических и сварочных работ;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14) услуги по остеклению балконов и лоджий, нарезке стекла и зеркал, художественной обработке стекла;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услуги по обучению населения на курсах и по репетиторству;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16) услуги по присмотру и уходу за детьми и больными;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17) услуги по приему стеклопосуды и вторичного сырья, за исключением металлолома;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18) ветеринарные услуги;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19) сдача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20) изготовление изделий народных художественных промыслов;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21)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22) производство и реставрация ковров и ковровых изделий;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23) ремонт ювелирных изделий, бижутерии;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24) чеканка и гравировка ювелирных изделий;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26) услуги по уборке жилых помещений и ведению домашнего хозяйства;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27) услуги по оформлению интерьера жилого помещения и услуги художественного оформления;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28) проведение занятий по физической культуре и спорту;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29) услуги носильщиков на железнодорожных вокзалах, автовокзалах, аэровокзалах, в аэропортах, морских, речных портах;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30) услуги платных туалетов;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31) услуги поваров по изготовлению блюд на дому;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32) оказание услуг по перевозке пассажиров водным транспортом;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33) оказание услуг по перевозке грузов водным транспортом;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36) услуги по зеленому хозяйству и декоративному цветоводству;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37) ведение охотничьего хозяйства и осуществление охоты;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38)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39) осуществление частной детективной деятельности лицом, имеющим лицензию;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40) услуги по прокату;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41) экскурсионные услуги;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42) обрядовые услуги;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43) ритуальные услуги;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44) услуги уличных патрулей, охранников, сторожей и вахтеров;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45)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47)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48) 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49) оказание услуг по забою, транспортировке, перегонке, выпасу скота;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50) производство кожи и изделий из кожи;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51) сбор и заготовка пищевых лесных ресурсов, недревесных лесных ресурсов и лекарственных растений;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52) сушка, переработка и консервирование фруктов и овощей;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53) производство молочной продукции;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54) производство плодово-ягодных посадочных материалов, выращивание рассады овощных культур и семян трав;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55) производство хлебобулочных и мучных кондитерских изделий;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56) товарное и спортивное рыболовство и рыбоводство;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57) лесоводство и прочая лесохозяйственная деятельность;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58) деятельность по письменному и устному переводу;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59) деятельность по уходу за престарелыми и инвалидами;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60) сбор, обработка и утилизация отходов, а также обработка вторичного сырья;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61) резка, обработка и отделка камня для памятников;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62)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63) ремонт компьютеров и коммуникационного оборудования.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целях подпунктов 45 - 48 пункта 2 настоящей статьи используются следующие понятия: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розничная торговля -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относится реализация подакцизных товаров, указанных в подпунктах 6 - 10 пункта 1 статьи 181 настоящего Кодекса, продуктов питания и напитков, в том числе алкогольных, как в упаковке и расфасовке изготовителя, так и без таких упаковки и расфасовки, в барах, ресторанах, кафе и других объектах организации общественного питания, газа, грузовых и специальных автомобилей, прицепов, полуприцепов, прицепов-роспусков, автобусов любых типов, товаров по образцам и каталогам вне стационарной торговой сети (в том числе в виде почтовых отправлений (посылочная торговля), а </w:t>
      </w:r>
      <w:r>
        <w:rPr>
          <w:rFonts w:ascii="Arial" w:hAnsi="Arial" w:cs="Arial"/>
          <w:color w:val="000000"/>
          <w:sz w:val="20"/>
          <w:szCs w:val="20"/>
        </w:rPr>
        <w:lastRenderedPageBreak/>
        <w:t>также через телемагазины, телефонную связь и компьютерные сети), передача лекарственных препаратов по льготным (бесплатным) рецептам, а также продукции собственного производства (изготовления). Реализация через торговые автоматы товаров и (или) продукции общественного питания, изготовленной в этих торговых автоматах, относится в целях настоящей главы к розничной торговле;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стационарная торговая сеть, имеющая торговые залы, - торговая сеть, расположенная в предназначенных для ведения торговли зданиях и строениях (их частях), имеющих оснащенные специальным оборудованием обособленные помещения, предназначенные для ведения розничной торговли и обслуживания покупателей. К данной категории торговых объектов относятся магазины и павильоны;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магазин - специально оборудованное здание (его часть),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товаров и подготовки их к продаже;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павильон - строение, имеющее торговый зал и рассчитанное на одно или несколько рабочих мест;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площадь торгового зала - часть магазина, павильона,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площади торгового зала. Площадь торгового зала определяется на основании инвентаризационных и правоустанавливающих документов;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площадь зала обслуживания посетителей - площадь специально оборудованных помещений (открытых площадок) объекта организации общественного питания, предназначенных для потребления готовой кулинарной продукции, кондитерских изделий и (или) покупных товаров, а также для проведения досуга, определяемая на основании инвентаризационных и правоустанавливающих документов;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стационарная торговая сеть, не имеющая торговых залов, - торговая сеть, расположенная в предназначенных для ведения торговли зданиях, строениях и сооружениях (их частях), не имеющих обособленных и специально оснащенных для этих целей помещений, а также в зданиях, строениях и сооружениях (их частях), используемых для заключения договоров розничной купли-продажи, а также для проведения торгов. К данной категории торговых объектов относятся розничные рынки, ярмарки, киоски, палатки, торговые автоматы;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киоск - строение, которое не имеет торгового зала и рассчитано на одно рабочее место продавца;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палатка - сборно-разборная конструкция, оснащенная прилавком, не имеющая торгового зала;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нестационарная торговая сеть - торговая сеть, функционирующая на принципах развозной и разносной торговли, а также объекты организации торговли, неотносимые к стационарной торговой сети;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тонара, автоприцепа, передвижного торгового автомата;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разносная торговля 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13) услуги общественного питания - услуги по изготовлению кулинарной продукции и (или) кондитерских изделий, созданию условий для потребления и (или) реализации готовой кулинарной продукции, кондитерских изделий и (или) покупных товаров, а также по проведению досуга. К услугам общественного питания не относятся услуги по производству и реализации подакцизных товаров, указанных в подпункте 3 пункта 1 статьи 181 настоящего Кодекса;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14) объект организации общественного питания, имеющий зал обслуживания посетителей, - здание (его часть) или строение, предназначенные для оказания услуг общественного питания и имеющие специально оборудованное помещение (открытую площадку) для потребления готовой кулинарной продукции, кондитерских изделий и (или) покупных товаров, а также для проведения досуга;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объект организации общественного питания, не имеющий зала обслуживания посетителей, - объект организации общественного питания, не имеющий специально оборудованного помещения (открытой площадки) для потребления готовой кулинарной продукции, кондитерских изделий и (или) покупных товаров. К данной категории объектов организации общественного питания относятся киоски, палатки, магазины (отделы) кулинарии при ресторанах, барах, кафе, столовых, закусочных и другие аналогичные точки общественного питания;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16) открытая площадка - специально оборудованное для общественного питания место, расположенное на земельном участке.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целях настоящей главы к инвентаризационным и правоустанавливающим документам относятся любые имеющиеся у индивидуального предпринимателя документы на объект стационарной торговой сети (организации общественного питания), содержащие информацию о назначении, конструктивных особенностях и планировке помещений такого объекта, а также информацию, подтверждающую право пользования данным объектом (договор купли-продажи нежилого помещения, технический паспорт на нежилое помещение, планы, схемы, экспликации, договор аренды (субаренды) нежилого помещения или его части (частей), разрешение на право обслуживания посетителей на открытой площадке и другие документы).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При применении патентной системы налогообложения индивидуальный предприниматель вправе привлекать наемных работников, в том числе по договорам гражданско-правового характера. При этом 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15 человек по всем видам предпринимательской деятельности, осуществляемым индивидуальным предпринимателем.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Патентная система налогообложения не применяется в отношении видов предпринимательской деятельности, указанных в пункте 2 настоящей статьи, в случае их осуществления в рамках договора простого товарищества (договора о совместной деятельности) или договора доверительного управления имуществом.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Законами субъектов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 При этом максимальный размер потенциально возможного к получению индивидуальным предпринимателем годового дохода не может превышать 1 млн. рублей, если иное не установлено пунктом 8 настоящей статьи.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Субъекты Российской Федерации вправе: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дифференцировать виды предпринимательской деятельности, указанные в пункте 2 настоящей статьи, если такая дифференциация предусмотрена Общероссийским классификатором видов экономической деятельности и (или) Общероссийским классификатором продукции по видам экономической деятельности;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1.1) 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дифференцировать территорию субъекта Российской </w:t>
      </w:r>
      <w:r>
        <w:rPr>
          <w:rFonts w:ascii="Arial" w:hAnsi="Arial" w:cs="Arial"/>
          <w:color w:val="000000"/>
          <w:sz w:val="20"/>
          <w:szCs w:val="20"/>
        </w:rPr>
        <w:lastRenderedPageBreak/>
        <w:t>Федерации по территориям действия патентов по муниципальным образованиям (группам муниципальных образований), за исключением патентов на осуществление видов предпринимательской деятельности, указанных в подпунктах 10, 11, 32, 33 и подпункте 46 (в части, касающейся развозной и разносной розничной торговли) пункта 2 настоящей статьи;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устанавливать дополнительный перечень видов предпринимательской деятельности, относящихся к бытовым услугам и не указанных в пункте 2 настоящей статьи, в отношении которых применяется патентная система налогообложения.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устанавливать размер потенциально возможного к получению индивидуальным предпринимателем годового дохода в зависимости от: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средней численности наемных работников;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количества транспортных средств, грузоподъемности транспортного средства, количества посадочных мест в транспортном средстве;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количества обособленных объектов (площадей) в отношении видов предпринимательской деятельности, указанных в подпунктах 19, 45 - 48 пункта 2 настоящей статьи;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территории действия патентов, определенной в соответствии с подпунктом 1.1 настоящего пункта;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увеличивать максимальный размер потенциально возможного к получению индивидуальным предпринимателем годового дохода: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более чем в три раза - по видам предпринимательской деятельности, указанным в подпунктах 9, 10, 11, 32, 33, 38, 42, 43 пункта 2 настоящей статьи;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более чем в пять раз - по всем видам предпринимательской деятельности, в отношении которых применяется патентная система налогообложения, осуществляемым на территории города с численностью населения более одного миллиона человек;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более чем в десять раз - по видам предпринимательской деятельности, указанным в подпунктах 19, 45 - 47 пункта 2 настоящей статьи.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Указанный в пункте 7 настоящей статьи максимальный размер потенциально возможного к получению индивидуальным предпринимателем годового дохода подлежит индексации на коэффициент-дефлятор, установленный на соответствующий календарный год.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Применение патентной системы налогообложения индивидуальными предпринимателями предусматривает их освобождение от обязанности по уплате: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налога на доходы физических лиц (в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налогообложения);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налога на имущество физических лиц (в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настоящего Кодекса с учетом особенностей, предусмотренных абзацем вторым пункта 10 статьи 378.2 настоящего Кодекса).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Индивидуальные предприниматели, применяющие патентную систему налогообложения, не признаются налогоплательщиками налога на добавленную стоимость, за исключением налога на добавленную стоимость, подлежащего уплате в соответствии с настоящим Кодексом: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1) при осуществлении видов предпринимательской деятельности, в отношении которых не применяется патентная система налогообложения;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при ввозе товаров на территорию Российской Федерации и иные территории, находящиеся под ее юрисдикцией, включая суммы налога,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области;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при осуществлении операций, облагаемых в соответствии со статьей 174.1 настоящего Кодекса.</w:t>
      </w:r>
    </w:p>
    <w:p w:rsidR="005406DC" w:rsidRDefault="005406DC" w:rsidP="005406D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Иные налоги индивидуальные предприниматели, применяющие патентную систему налогообложения, уплачивают в соответствии с законодательством о налогах и сборах, а также исполняют обязанности налоговых агентов, предусмотренные настоящим Кодексом.</w:t>
      </w:r>
    </w:p>
    <w:p w:rsidR="005406DC" w:rsidRDefault="005406DC" w:rsidP="005406DC">
      <w:pPr>
        <w:pStyle w:val="a4"/>
        <w:spacing w:before="240" w:beforeAutospacing="0" w:after="240" w:afterAutospacing="0"/>
      </w:pPr>
      <w:hyperlink r:id="rId6" w:tgtFrame="_blank" w:tooltip="Реклама" w:history="1">
        <w:r>
          <w:rPr>
            <w:rStyle w:val="a3"/>
            <w:color w:val="207B97"/>
            <w:sz w:val="20"/>
            <w:szCs w:val="20"/>
            <w:u w:val="none"/>
          </w:rPr>
          <w:t>Актуальный текст Налогового кодекса ч.2 на сайте</w:t>
        </w:r>
        <w:r>
          <w:rPr>
            <w:rStyle w:val="apple-converted-space"/>
            <w:color w:val="207B97"/>
            <w:sz w:val="20"/>
            <w:szCs w:val="20"/>
          </w:rPr>
          <w:t> </w:t>
        </w:r>
        <w:r>
          <w:rPr>
            <w:rStyle w:val="a3"/>
            <w:b/>
            <w:bCs/>
            <w:color w:val="207B97"/>
            <w:sz w:val="20"/>
            <w:szCs w:val="20"/>
            <w:u w:val="none"/>
          </w:rPr>
          <w:t>«Консультант Плюс»</w:t>
        </w:r>
      </w:hyperlink>
    </w:p>
    <w:p w:rsidR="005A0182" w:rsidRPr="005406DC" w:rsidRDefault="005A0182" w:rsidP="005406DC"/>
    <w:sectPr w:rsidR="005A0182" w:rsidRPr="0054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F2F0D"/>
    <w:rsid w:val="00155CDF"/>
    <w:rsid w:val="00272D2B"/>
    <w:rsid w:val="00275817"/>
    <w:rsid w:val="002810E1"/>
    <w:rsid w:val="002D01B7"/>
    <w:rsid w:val="0034681A"/>
    <w:rsid w:val="003B009E"/>
    <w:rsid w:val="00432BD3"/>
    <w:rsid w:val="00481590"/>
    <w:rsid w:val="005406DC"/>
    <w:rsid w:val="005A0182"/>
    <w:rsid w:val="006E4581"/>
    <w:rsid w:val="00765C3B"/>
    <w:rsid w:val="009757E6"/>
    <w:rsid w:val="009F6C9F"/>
    <w:rsid w:val="00A02B37"/>
    <w:rsid w:val="00AA458B"/>
    <w:rsid w:val="00AD0A3E"/>
    <w:rsid w:val="00B51F7B"/>
    <w:rsid w:val="00BA295D"/>
    <w:rsid w:val="00BB1157"/>
    <w:rsid w:val="00C66ED5"/>
    <w:rsid w:val="00D1496D"/>
    <w:rsid w:val="00D45358"/>
    <w:rsid w:val="00D93565"/>
    <w:rsid w:val="00ED6E68"/>
    <w:rsid w:val="00EE5A0E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5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A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" TargetMode="External"/><Relationship Id="rId5" Type="http://schemas.openxmlformats.org/officeDocument/2006/relationships/hyperlink" Target="http://www.zakonrf.info/nk/346.43/" TargetMode="External"/><Relationship Id="rId4" Type="http://schemas.openxmlformats.org/officeDocument/2006/relationships/hyperlink" Target="http://www.zakonrf.info/nk/gl26.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2988</Words>
  <Characters>17036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2017-03-24T17:12:00Z</dcterms:created>
  <dcterms:modified xsi:type="dcterms:W3CDTF">2017-03-26T16:49:00Z</dcterms:modified>
</cp:coreProperties>
</file>