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0" w:rsidRDefault="00122500" w:rsidP="0012250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252. Расходы. Группировка расходов</w:t>
      </w:r>
    </w:p>
    <w:bookmarkEnd w:id="0"/>
    <w:p w:rsidR="00122500" w:rsidRDefault="00122500" w:rsidP="0012250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5" w:tooltip="Расходы. Группировка расход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252]</w:t>
        </w:r>
      </w:hyperlink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Расходами признаются обоснованные и документально подтвержденные затраты (а в случаях, предусмотренных статьей 265 настоящего Кодекса, убытки), осуществленные (понесенные) налогоплательщиком.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Расходы в зависимости от их характера, а также условий осуществления и направлений деятельности налогоплательщика подразделяются на расходы, связанные с производством и реализацией, и внереализационные расходы.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исключен.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В целях настоящей главы расходами вновь созданных и реорганизованных организаций признается стоимость (остаточная стоимость) имущества, имущественных и неимущественных прав, имеющих денежную оценку, и (или) обязательств, получаемых в порядке правопреемства при реорганизации юридических лиц, которые были приобретены (созданы) реорганизуемыми организациями до даты завершения реорганизации. Стоимость имущества, имущественных и неимущественных прав, имеющих денежную оценку, определяется по данным и документам налогового учета передающей стороны на дату перехода права собственности на указанные имущество, имущественные и неимущественные права.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Расходами вновь созданных и реорганизованных организаций также признаются расходы (а в случаях, предусмотренных настоящим Кодексом, убытки), предусмотренные статьями 255, 260 - 268, 275, 275.1, 279, 280, 283, 304, 318 - 320 настоящей главы, осуществленные (понесенные) реорганизуемыми организациями в той части, которая не была учтена ими при формировании налоговой базы. В целях налогообложения указанные расходы учитываются организациями-правопреемниками в порядке и на условиях, которые предусмотрены настоящей главой. Состав таких расходов и их оценка определяются по данным и документам налогового учета реорганизуемых организаций на дату завершения реорганизации (дату внесения записи о прекращении деятельности каждого присоединяемого юридического лица - при реорганизации в форме присоединения).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расходы, связанные с передачей (получением) имущества (имущественных и неимущественных прав) при реорганизации организаций, в целях налогообложения учитываются в порядке, установленном настоящей главой.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Особенности определения расходов, признаваемых для целей налогообложения, для отдельных категорий налогоплательщиков либо расходов, произведенных в связи с особыми обстоятельствами, устанавливаются положениями настоящей главы.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некоторые затраты с равными основаниями могут быть отнесены одновременно к нескольким группам расходов, налогоплательщик вправе самостоятельно определить, к какой именно группе он отнесет такие затраты.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Понесенные налогоплательщиком расходы, стоимость которых выражена в иностранной валюте, учитываются в совокупности с расходами, стоимость которых выражена в рублях.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Понесенные налогоплательщиком расходы, стоимость которых выражена в условных единицах, учитываются в совокупности с расходами, стоимость которых выражена в рублях.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Пересчет указанных расходов производится налогоплательщиком в зависимости от выбранного в учетной политике для целей налогообложения метода признания таких расходов в соответствии со статьями 272 и 273 настоящего Кодекса.</w:t>
      </w:r>
    </w:p>
    <w:p w:rsidR="00122500" w:rsidRDefault="00122500" w:rsidP="0012250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настоящей главы суммы, отраженные в составе расходов налогоплательщиков, не подлежат повторному включению в состав его расходов.</w:t>
      </w:r>
    </w:p>
    <w:p w:rsidR="00122500" w:rsidRDefault="00122500" w:rsidP="00122500">
      <w:pPr>
        <w:pStyle w:val="a4"/>
        <w:spacing w:before="240" w:beforeAutospacing="0" w:after="240" w:afterAutospacing="0"/>
      </w:pPr>
      <w:hyperlink r:id="rId6" w:tgtFrame="_blank" w:tooltip="Реклама" w:history="1">
        <w:r>
          <w:rPr>
            <w:rStyle w:val="a3"/>
            <w:color w:val="207B97"/>
            <w:sz w:val="20"/>
            <w:szCs w:val="20"/>
            <w:u w:val="none"/>
          </w:rPr>
          <w:t>Актуальный текст Налогового кодекса ч.2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3"/>
            <w:b/>
            <w:bCs/>
            <w:color w:val="207B97"/>
            <w:sz w:val="20"/>
            <w:szCs w:val="20"/>
            <w:u w:val="none"/>
          </w:rPr>
          <w:t>«Консультант Плюс»</w:t>
        </w:r>
      </w:hyperlink>
    </w:p>
    <w:p w:rsidR="00F75A5F" w:rsidRPr="00122500" w:rsidRDefault="00F75A5F" w:rsidP="00122500"/>
    <w:sectPr w:rsidR="00F75A5F" w:rsidRPr="0012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122500"/>
    <w:rsid w:val="0013597C"/>
    <w:rsid w:val="0021397B"/>
    <w:rsid w:val="002B6CBB"/>
    <w:rsid w:val="00397461"/>
    <w:rsid w:val="0044189B"/>
    <w:rsid w:val="004F5DB7"/>
    <w:rsid w:val="007152BE"/>
    <w:rsid w:val="008349FC"/>
    <w:rsid w:val="008C0CB0"/>
    <w:rsid w:val="00A17611"/>
    <w:rsid w:val="00C1603A"/>
    <w:rsid w:val="00EA2491"/>
    <w:rsid w:val="00F75A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" TargetMode="External"/><Relationship Id="rId5" Type="http://schemas.openxmlformats.org/officeDocument/2006/relationships/hyperlink" Target="http://www.zakonrf.info/nk/252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2017-04-17T05:23:00Z</dcterms:created>
  <dcterms:modified xsi:type="dcterms:W3CDTF">2017-04-17T15:14:00Z</dcterms:modified>
</cp:coreProperties>
</file>