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AC" w:rsidRDefault="008A2EAC" w:rsidP="008A2EAC">
      <w:pPr>
        <w:pStyle w:val="2"/>
        <w:rPr>
          <w:sz w:val="20"/>
          <w:szCs w:val="20"/>
        </w:rPr>
      </w:pPr>
      <w:bookmarkStart w:id="0" w:name="_GoBack"/>
      <w:r>
        <w:rPr>
          <w:sz w:val="20"/>
          <w:szCs w:val="20"/>
        </w:rPr>
        <w:t>Статья 264. Прочие расходы, связанные с производством и (или) реализацией</w:t>
      </w:r>
    </w:p>
    <w:bookmarkEnd w:id="0"/>
    <w:p w:rsidR="008A2EAC" w:rsidRDefault="008A2EAC" w:rsidP="008A2EAC">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Прочие расходы, связанные с производством и (или) реализацией" w:history="1">
        <w:r>
          <w:rPr>
            <w:rStyle w:val="a3"/>
            <w:b/>
            <w:bCs/>
            <w:color w:val="707070"/>
            <w:sz w:val="20"/>
            <w:szCs w:val="20"/>
            <w:u w:val="none"/>
          </w:rPr>
          <w:t>[Статья 264]</w:t>
        </w:r>
      </w:hyperlink>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К прочим расходам, связанным с производством и реализацией, относятся следующие расходы налогоплательщика: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настоящим Кодексом порядке, за исключением перечисленных в статье 270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расходы на сертификацию продукции и услуг, а также на декларирование соответствия с участием третьей стороны;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расходы по стандартизации с учетом положений пункта 5 настоящей статьи;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суммы комиссионных сборов и иных подобных расходов за выполненные сторонними организациями работы (предоставленные услуги);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суммы портовых и аэродромных сборов, расходы на услуги лоцмана и иные аналогичные расходы;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суммы выплаченных подъемных в пределах норм, установленных в соответствии с законодательством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расходы по набору работников, включая расходы на услуги специализированных организаций по подбору персонала;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статьи 267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договору лизинга, учитывается у лизингополучателя, расходами, учитываемыми в соответствии с настоящим подпунктом, признаются: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 лизингополучателя - арендные (лизинговые) платежи за вычетом суммы амортизации по этому имуществу, начисленной в соответствии со статьями 259 - 259.2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 лизингодателя - расходы на приобретение имущества, переданного в лизинг;</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10.1) плата, вносимая концессионером концеденту в период использования (эксплуатации) объекта концессионного соглашения (концессионная плата);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расходы на командировки, в частности на: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проезд работника к месту командировки и обратно к месту постоянной работы;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суточные или полевое довольствие;</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оформление и выдачу виз, паспортов, ваучеров, приглашений и иных аналогичных документов;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12.1) расходы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Указанные расходы должны быть предусмотрены коллективными договорами;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расходы на рацион питания экипажей морских, речных и воздушных судов;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расходы на юридические и информационные услуги;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расходы на консультационные и иные аналогичные услуги;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расходы на аудиторские услуги;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расходы на услуги по предоставлению труда работников (персонала) сторонними организациями для участия в производственной деятельности, в том числе в управлении производством, выполнении иных функций, связанных с производством и (или) реализацией продукции (работ, услуг);</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расходы на публикацию бухгалтерской (финансовой)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пунктом 2 настоящей статьи;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23) расходы на обучение по основным и дополнительным профессиональным образовательным программам, профессиональную подготовку и переподготовку, прохождение независимой оценки квалификации на соответствие требованиям к квалификации работников налогоплательщика в порядке, предусмотренном пунктом 3 настоящей статьи;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24) расходы на канцелярские товары;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26)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пунктом 1 статьи 256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пункта 4 настоящей статьи;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29) 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30) взносы, уплачиваемые международным организациям и организациям, предоставляющим платежные системы и электронные системы передачи 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услуг, необходимых для ведения налогоплательщиком - плательщиком таких взносов указанной деятельности;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 расходы на подготовку и освоение новых производств, цехов и агрегатов;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35) расходы, связанные с внедрением технологий производства, а также методов организации производства и управления;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36) расходы на услуги по ведению бухгалтерского учета, оказываемые сторонними организациями или индивидуальными предпринимателями;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37)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Целями социальной защиты инвалидов в соответствии с законодательством Российской Федерации о социальной защите инвалидов признаются: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улучшение условий и охраны труда 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создание и сохранение рабочих мест для инвалидов (закупка и монтаж оборудования, в том числе организация труда рабочих-надомников);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обучение (в том числе новым профессиям и приемам труда) и трудоустройство 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изготовление и ремонт протезных изделий;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обслуживание технических средств реабилитации (включая приобретение собак-проводников);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санаторно-курортное обслуживание инвалидов, а также лиц, сопровождающих инвалидов I группы и детей-инвалидов;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защита прав и законных интересов 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мероприятия по интеграции инвалидов в общество (включая культурные, спортивные и иные подобные мероприятия);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распространение среди инвалидов печатных изданий общественных организаций инвалидов;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распространение среди инвалидов видеоматериалов с субтитрами или сурдопереводом;</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взносы, направленные указанными организациями общественным организациям инвалидов на их содержание.</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указанные в подпункте 38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39.2) расходы на формирование в порядке, установленном статьей 267.1 настоящего Кодекса, резервов предстоящих расходов в целях социальной защиты инвалидов, предусмотренных подпунктом 38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39.3) расходы на формирование в порядке, установленном статьей 267.2 настоящего Кодекса, резервов предстоящих расходов на научные исследования и (или) опытно-конструкторские разработки;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40)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42) расходы налогоплательщиков - сельскохозяйственных организаций на питание работников, занятых на сельскохозяйственных работах;</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44) потери в виде стоимости бракованной, утратившей товарный вид, а также не 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Расходом признается стоимость продукции средств массовой информации и книжной продукции, не реализованной в течение следующих сроков: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периодических печатных изданий - в пределах срока до выхода следующего номера соответствующего периодического печатного издания;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книг и иных непериодических печатных изданий - в пределах 24 месяцев после выхода их в свет;</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для календарей (независимо от их вида) - до 1 апреля года, к которому они относятся;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законодательством Российской Федерации, регулирующим деятельность в области связи;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47) потери от брака;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 если подобные расходы не учитываются в соответствии со статьей 275.1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абзаце десятом пункта 16 части второй статьи 255 настоящего Кодекса, включается в состав расходов в размере, не превышающем 3 процентов суммы расходов на оплату труда;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48.4) расходы налогоплательщиков, связанные с безвозмездным оказанием услуг по изготовлению и (или) распространению социальной рекламы в соответствии с законодательством Российской Федерации о рекламе. Указанные в настоящем подпункте расходы признаются для целей </w:t>
      </w:r>
      <w:r>
        <w:rPr>
          <w:rFonts w:ascii="Arial" w:hAnsi="Arial" w:cs="Arial"/>
          <w:color w:val="000000"/>
          <w:sz w:val="20"/>
          <w:szCs w:val="20"/>
        </w:rPr>
        <w:lastRenderedPageBreak/>
        <w:t>налогообложения при условии соблюдения требований к социальной рекламе, установленных подпунктом 32 пункта 3 статьи 149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48.5) расходы налогоплательщика, в пользу которого в установленном законодательством Российской Федерации порядке переходит право пользования участком недр, в виде компенсации расходов на освоение природных ресурсов, ранее осуществленных прежним владельцем лицензии на пользование этим участком недр в целях ее приобретения, в сумме фактических затрат налогоплательщика;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48.6) суммы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48.7) расходы, связанные с предоставлением имущества (работ, услуг) 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48.8) расходы на оплату услуг клиринговых организаций, связанных с выдачей, обслуживанием обращения и погашением клиринговых сертификатов участия;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49) другие расходы, связанные с производством и (или) реализацией.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 представительским расходам не относятся расходы на организацию развлечений, отдыха, профилактики или лечения заболеваний.</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прохождение независимой оценки квалификации на соответствие требованиям к квалификации работников налогоплательщика включаются в состав прочих расходов, если: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обучение по основным и дополнительным профессиональным образовательным программам,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 обучение по основным и дополнительным профессиональным образовательным программам, профессиональную подготовку и переподготовку проходят работники налогоплательщика, заключившие с налогоплательщиком трудовой договор, либо физические лица, заключившие с налогоплательщиком договор, предусматривающий обязанность физического лица не позднее трех месяцев после окончания указанного обучения, профессиональной подготовки и переподготовки, оплаченных налогоплательщиком, заключить с ним трудовой договор и отработать у налогоплательщика не менее одного года,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 заключившие с ним трудовой договор. 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(статья 83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обучение, профессиональную подготовку или переподготовку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профессиональной подготовки или переподготовки, оплаченных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профессиональная подготовка или переподготовка которого были оплачены налогоплательщиком, в соответствии с заключенным с налогоплательщиком трудовым договором, но не менее четырех лет.</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обязан хранить документы, подтверждающие расходы на прохождение работником независимой оценки квалификации на соответствие требованиям к квалификации,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 но не менее четырех лет.</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К расходам организации на рекламу в целях настоящей главы относятся:</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световую и иную наружную рекламу, включая изготовление рекламных стендов и рекламных щитов;</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статьей 249 настоящего Кодекса.</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p>
    <w:p w:rsidR="008A2EAC" w:rsidRDefault="008A2EAC" w:rsidP="008A2EA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
    <w:p w:rsidR="00E53781" w:rsidRPr="008A2EAC" w:rsidRDefault="00E53781" w:rsidP="008A2EAC"/>
    <w:sectPr w:rsidR="00E53781" w:rsidRPr="008A2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A"/>
    <w:rsid w:val="00155192"/>
    <w:rsid w:val="005D014A"/>
    <w:rsid w:val="008A2EAC"/>
    <w:rsid w:val="00BB7DD0"/>
    <w:rsid w:val="00D1271E"/>
    <w:rsid w:val="00E5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4EC1-63E4-4DB0-82F1-47F9C57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7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D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7DD0"/>
    <w:rPr>
      <w:color w:val="0000FF"/>
      <w:u w:val="single"/>
    </w:rPr>
  </w:style>
  <w:style w:type="character" w:customStyle="1" w:styleId="apple-converted-space">
    <w:name w:val="apple-converted-space"/>
    <w:basedOn w:val="a0"/>
    <w:rsid w:val="00BB7DD0"/>
  </w:style>
  <w:style w:type="paragraph" w:styleId="a4">
    <w:name w:val="Normal (Web)"/>
    <w:basedOn w:val="a"/>
    <w:uiPriority w:val="99"/>
    <w:semiHidden/>
    <w:unhideWhenUsed/>
    <w:rsid w:val="00BB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394">
      <w:bodyDiv w:val="1"/>
      <w:marLeft w:val="0"/>
      <w:marRight w:val="0"/>
      <w:marTop w:val="0"/>
      <w:marBottom w:val="0"/>
      <w:divBdr>
        <w:top w:val="none" w:sz="0" w:space="0" w:color="auto"/>
        <w:left w:val="none" w:sz="0" w:space="0" w:color="auto"/>
        <w:bottom w:val="none" w:sz="0" w:space="0" w:color="auto"/>
        <w:right w:val="none" w:sz="0" w:space="0" w:color="auto"/>
      </w:divBdr>
      <w:divsChild>
        <w:div w:id="1948848463">
          <w:marLeft w:val="0"/>
          <w:marRight w:val="0"/>
          <w:marTop w:val="0"/>
          <w:marBottom w:val="0"/>
          <w:divBdr>
            <w:top w:val="none" w:sz="0" w:space="0" w:color="auto"/>
            <w:left w:val="none" w:sz="0" w:space="0" w:color="auto"/>
            <w:bottom w:val="none" w:sz="0" w:space="0" w:color="auto"/>
            <w:right w:val="none" w:sz="0" w:space="0" w:color="auto"/>
          </w:divBdr>
        </w:div>
        <w:div w:id="22289190">
          <w:marLeft w:val="0"/>
          <w:marRight w:val="0"/>
          <w:marTop w:val="0"/>
          <w:marBottom w:val="0"/>
          <w:divBdr>
            <w:top w:val="none" w:sz="0" w:space="0" w:color="auto"/>
            <w:left w:val="none" w:sz="0" w:space="0" w:color="auto"/>
            <w:bottom w:val="none" w:sz="0" w:space="0" w:color="auto"/>
            <w:right w:val="none" w:sz="0" w:space="0" w:color="auto"/>
          </w:divBdr>
        </w:div>
      </w:divsChild>
    </w:div>
    <w:div w:id="1090197481">
      <w:bodyDiv w:val="1"/>
      <w:marLeft w:val="0"/>
      <w:marRight w:val="0"/>
      <w:marTop w:val="0"/>
      <w:marBottom w:val="0"/>
      <w:divBdr>
        <w:top w:val="none" w:sz="0" w:space="0" w:color="auto"/>
        <w:left w:val="none" w:sz="0" w:space="0" w:color="auto"/>
        <w:bottom w:val="none" w:sz="0" w:space="0" w:color="auto"/>
        <w:right w:val="none" w:sz="0" w:space="0" w:color="auto"/>
      </w:divBdr>
      <w:divsChild>
        <w:div w:id="1749116286">
          <w:marLeft w:val="0"/>
          <w:marRight w:val="0"/>
          <w:marTop w:val="0"/>
          <w:marBottom w:val="0"/>
          <w:divBdr>
            <w:top w:val="none" w:sz="0" w:space="0" w:color="auto"/>
            <w:left w:val="none" w:sz="0" w:space="0" w:color="auto"/>
            <w:bottom w:val="none" w:sz="0" w:space="0" w:color="auto"/>
            <w:right w:val="none" w:sz="0" w:space="0" w:color="auto"/>
          </w:divBdr>
        </w:div>
        <w:div w:id="1162549758">
          <w:marLeft w:val="0"/>
          <w:marRight w:val="0"/>
          <w:marTop w:val="0"/>
          <w:marBottom w:val="0"/>
          <w:divBdr>
            <w:top w:val="none" w:sz="0" w:space="0" w:color="auto"/>
            <w:left w:val="none" w:sz="0" w:space="0" w:color="auto"/>
            <w:bottom w:val="none" w:sz="0" w:space="0" w:color="auto"/>
            <w:right w:val="none" w:sz="0" w:space="0" w:color="auto"/>
          </w:divBdr>
        </w:div>
      </w:divsChild>
    </w:div>
    <w:div w:id="1613241828">
      <w:bodyDiv w:val="1"/>
      <w:marLeft w:val="0"/>
      <w:marRight w:val="0"/>
      <w:marTop w:val="0"/>
      <w:marBottom w:val="0"/>
      <w:divBdr>
        <w:top w:val="none" w:sz="0" w:space="0" w:color="auto"/>
        <w:left w:val="none" w:sz="0" w:space="0" w:color="auto"/>
        <w:bottom w:val="none" w:sz="0" w:space="0" w:color="auto"/>
        <w:right w:val="none" w:sz="0" w:space="0" w:color="auto"/>
      </w:divBdr>
      <w:divsChild>
        <w:div w:id="179977641">
          <w:marLeft w:val="0"/>
          <w:marRight w:val="0"/>
          <w:marTop w:val="0"/>
          <w:marBottom w:val="0"/>
          <w:divBdr>
            <w:top w:val="none" w:sz="0" w:space="0" w:color="auto"/>
            <w:left w:val="none" w:sz="0" w:space="0" w:color="auto"/>
            <w:bottom w:val="none" w:sz="0" w:space="0" w:color="auto"/>
            <w:right w:val="none" w:sz="0" w:space="0" w:color="auto"/>
          </w:divBdr>
        </w:div>
        <w:div w:id="584849499">
          <w:marLeft w:val="0"/>
          <w:marRight w:val="0"/>
          <w:marTop w:val="0"/>
          <w:marBottom w:val="0"/>
          <w:divBdr>
            <w:top w:val="none" w:sz="0" w:space="0" w:color="auto"/>
            <w:left w:val="none" w:sz="0" w:space="0" w:color="auto"/>
            <w:bottom w:val="none" w:sz="0" w:space="0" w:color="auto"/>
            <w:right w:val="none" w:sz="0" w:space="0" w:color="auto"/>
          </w:divBdr>
        </w:div>
      </w:divsChild>
    </w:div>
    <w:div w:id="2135711118">
      <w:bodyDiv w:val="1"/>
      <w:marLeft w:val="0"/>
      <w:marRight w:val="0"/>
      <w:marTop w:val="0"/>
      <w:marBottom w:val="0"/>
      <w:divBdr>
        <w:top w:val="none" w:sz="0" w:space="0" w:color="auto"/>
        <w:left w:val="none" w:sz="0" w:space="0" w:color="auto"/>
        <w:bottom w:val="none" w:sz="0" w:space="0" w:color="auto"/>
        <w:right w:val="none" w:sz="0" w:space="0" w:color="auto"/>
      </w:divBdr>
      <w:divsChild>
        <w:div w:id="850222294">
          <w:marLeft w:val="0"/>
          <w:marRight w:val="0"/>
          <w:marTop w:val="0"/>
          <w:marBottom w:val="0"/>
          <w:divBdr>
            <w:top w:val="none" w:sz="0" w:space="0" w:color="auto"/>
            <w:left w:val="none" w:sz="0" w:space="0" w:color="auto"/>
            <w:bottom w:val="none" w:sz="0" w:space="0" w:color="auto"/>
            <w:right w:val="none" w:sz="0" w:space="0" w:color="auto"/>
          </w:divBdr>
        </w:div>
        <w:div w:id="8022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64/"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4595</Words>
  <Characters>26196</Characters>
  <Application>Microsoft Office Word</Application>
  <DocSecurity>0</DocSecurity>
  <Lines>218</Lines>
  <Paragraphs>61</Paragraphs>
  <ScaleCrop>false</ScaleCrop>
  <Company>SPecialiST RePack</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2017-04-13T11:28:00Z</dcterms:created>
  <dcterms:modified xsi:type="dcterms:W3CDTF">2017-04-13T12:52:00Z</dcterms:modified>
</cp:coreProperties>
</file>