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69" w:rsidRPr="00016C69" w:rsidRDefault="00016C69" w:rsidP="00016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016C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346.29. Объект налогообложения и налоговая база</w:t>
      </w:r>
    </w:p>
    <w:bookmarkEnd w:id="0"/>
    <w:p w:rsidR="00016C69" w:rsidRPr="00016C69" w:rsidRDefault="00016C69" w:rsidP="00016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"http://www.zakonrf.info/nk/" \o "Налоговый кодекс РФ" </w:instrText>
      </w:r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6C69">
        <w:rPr>
          <w:rFonts w:ascii="Times New Roman" w:eastAsia="Times New Roman" w:hAnsi="Times New Roman" w:cs="Times New Roman"/>
          <w:b/>
          <w:bCs/>
          <w:color w:val="707070"/>
          <w:sz w:val="20"/>
          <w:szCs w:val="20"/>
          <w:lang w:eastAsia="ru-RU"/>
        </w:rPr>
        <w:t>[Налоговый кодекс РФ]</w:t>
      </w:r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 w:rsidRPr="00016C6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26.3]</w:t>
        </w:r>
      </w:hyperlink>
      <w:r w:rsidRPr="0001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Объект налогообложения и налоговая база" w:history="1">
        <w:r w:rsidRPr="00016C6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346.29]</w:t>
        </w:r>
      </w:hyperlink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Объектом налогообложения для применения единого налога признается вмененный доход налогоплательщика.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2827"/>
        <w:gridCol w:w="1463"/>
      </w:tblGrid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доходность в месяц (рублей)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автотранспортных услуг по перевозке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места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Развозная и разносная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торговых автоматов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временному размещению и проживанию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016C69" w:rsidRPr="00016C69" w:rsidTr="00016C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</w:t>
            </w: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питания, если площадь земельного участка превышает 10 квадратных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C69" w:rsidRPr="00016C69" w:rsidRDefault="00016C69" w:rsidP="00016C6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Базовая доходность корректируется (умножается) на коэффициенты К1 и К2.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Утратил силу.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 определении величины базовой доходности представительные органы муниципальных районов, городских округов, законодательные (представительные) органы государственной власти городов федерального значения Москвы, Санкт-Петербурга и Севастополя могут корректировать (умножать) базовую доходность, указанную в пункте 3 настоящей статьи, на корректирующий коэффициент К2.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Корректирующий коэффициент К2 определяется как произведение установленных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значений, учитывающих влияние на результат предпринимательской деятельности факторов, предусмотренных статьей 346.27 настоящего Кодекса.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Значения корректирующего коэффициента К2 определяются для всех категорий налогоплательщиков представительными органами муниципальных районов, городских округов, законодательными (представительными) органами государственной власти городов федерального значения Москвы, Санкт-Петербурга и Севастополя на период не менее чем календарный год и могут быть установлены в пределах от 0,005 до 1 включительно. Если нормативный правовой акт представительного органа муниципального района, городского округа, законы городов федерального значения Москвы, Санкт-Петербурга и Севастополя о внесении изменений в действующие значения корректирующего коэффициента K2 не приняты до начала следующего календарного года и (или) не вступили в силу в установленном настоящим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K2, действовавшие в предыдущем календарном году.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Утратил силу.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случае,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 величины физического показателя.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Размер вмененного дохода за квартал,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налога, рассчитывается начиная с даты постановки организации или индивидуального предпринимателя на учет в налоговом органе в качестве налогоплательщика единого налога.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вмененного дохода за квартал, в течение которого произведено снятие налогоплательщика с учета в связи с прекращением предпринимательской деятельности, облагаемой единым налогом, рассчитывается с первого дня налогового периода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месяца,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формуле: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,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 ВД - сумма вмененного дохода за месяц;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БД - базовая доходность, скорректированная на коэффициенты  и ;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 - величина физического показателя;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КД - количество календарных дней в месяце;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фактическое количество дней осуществления предпринимательской деятельности в месяце в качестве налогоплательщика единого налога.</w:t>
      </w:r>
    </w:p>
    <w:p w:rsidR="00016C69" w:rsidRPr="00016C69" w:rsidRDefault="00016C69" w:rsidP="00016C6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Значения корректирующего коэффициента К2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8F4990" w:rsidRDefault="008F4990"/>
    <w:sectPr w:rsidR="008F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57"/>
    <w:rsid w:val="00016C69"/>
    <w:rsid w:val="003F6F57"/>
    <w:rsid w:val="008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B944A-A0C2-4BA4-A5C0-36F87C2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6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16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6C69"/>
  </w:style>
  <w:style w:type="paragraph" w:styleId="a4">
    <w:name w:val="Normal (Web)"/>
    <w:basedOn w:val="a"/>
    <w:uiPriority w:val="99"/>
    <w:semiHidden/>
    <w:unhideWhenUsed/>
    <w:rsid w:val="000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29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2017-04-02T07:22:00Z</dcterms:created>
  <dcterms:modified xsi:type="dcterms:W3CDTF">2017-04-02T07:22:00Z</dcterms:modified>
</cp:coreProperties>
</file>