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7C" w:rsidRDefault="0013597C" w:rsidP="0013597C">
      <w:pPr>
        <w:pStyle w:val="2"/>
        <w:rPr>
          <w:sz w:val="20"/>
          <w:szCs w:val="20"/>
        </w:rPr>
      </w:pPr>
      <w:bookmarkStart w:id="0" w:name="_GoBack"/>
      <w:r>
        <w:rPr>
          <w:sz w:val="20"/>
          <w:szCs w:val="20"/>
        </w:rPr>
        <w:t>Статья 430. Размер страховых взносов, уплачиваемых плательщиками, не производящими выплат и иных вознаграждений физическим лицам</w:t>
      </w:r>
    </w:p>
    <w:bookmarkEnd w:id="0"/>
    <w:p w:rsidR="0013597C" w:rsidRDefault="0013597C" w:rsidP="0013597C">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Страховые взносы" w:history="1">
        <w:r>
          <w:rPr>
            <w:rStyle w:val="a3"/>
            <w:b/>
            <w:bCs/>
            <w:color w:val="707070"/>
            <w:sz w:val="20"/>
            <w:szCs w:val="20"/>
            <w:u w:val="none"/>
          </w:rPr>
          <w:t>[Глава 34]</w:t>
        </w:r>
      </w:hyperlink>
      <w:r>
        <w:rPr>
          <w:rStyle w:val="apple-converted-space"/>
        </w:rPr>
        <w:t> </w:t>
      </w:r>
      <w:hyperlink r:id="rId5" w:tooltip="Размер страховых взносов, уплачиваемых плательщиками, не производящими выплат и иных вознаграждений физическим лицам" w:history="1">
        <w:r>
          <w:rPr>
            <w:rStyle w:val="a3"/>
            <w:b/>
            <w:bCs/>
            <w:color w:val="707070"/>
            <w:sz w:val="20"/>
            <w:szCs w:val="20"/>
            <w:u w:val="none"/>
          </w:rPr>
          <w:t>[Статья 430]</w:t>
        </w:r>
      </w:hyperlink>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Плательщики, указанные в подпункте 2 пункта 1 статьи 419 настоящего Кодекса, уплачивают:</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страховые взносы на обязательное пенсионное страхование в фиксированном размере, которые определяются в следующем порядке, если иное не предусмотрено настоящей статьей:</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если величина дохода плательщика за расчетный период не превышает 300 000 рублей, - в размере, определяемом как произведение минимального размера оплаты труда, установленного федеральным законом на начало календарного года, за который уплачиваются страховые взносы, увеличенного в 12 раз, и тарифа страховых взносов на обязательное пенсионное страхование, установленного пунктом 2 статьи 425 настоящего Кодекса;</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если величина дохода плательщика за расчетный период превышает 300 000 рублей, - в размере, определяемом как произведение минимального размера оплаты труда, установленного федеральным законом на начало календарного года, за который уплачиваются страховые взносы, увеличенного в 12 раз, и тарифа страховых взносов на обязательное пенсионное страхование, установленного пунктом 2 статьи 425 настоящего Кодекса плюс 1,0 процента суммы дохода плательщика, превышающего 300 000 рублей за расчетный период.</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этом сумма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календарного года, за который уплачиваются страховые взносы, увеличенного в 12 раз, и тарифа страховых взносов на обязательное пенсионное страхование, установленного пунктом 2 статьи 425 настоящего Кодекса;</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страховые взносы на обязательное медицинское страхование, фиксированный размер которых определяется как произведение минимального размера оплаты труда, установленного федеральным законом на начало календарного года, за который уплачиваются страховые взносы, увеличенного в 12 раз, и тарифа страховых взносов на обязательное медицинское страхование, установленного подпунктом 3 пункта 2 статьи 425 настоящего Кодекса.</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Главы крестьянских (фермерских) хозяйств уплачивают страховые взносы на обязательное пенсионное страхование и на обязательное медицинское страхование за себя и за каждого члена крестьянского (фермерского) хозяйства.</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этом размер страховых взносов в целом по крестьянскому (фермерскому) хозяйству определяется по каждому соответствующему виду обязательного социального страхования как произведение минимального размера оплаты труда, установленного федеральным законом на начало календарного года, за который уплачиваются страховые взносы, увеличенного в 12 раз, тарифов страховых взносов на обязательное пенсионное страхование и на обязательное медицинское страхование, установленных пунктом 2 статьи 425 настоящего Кодекса, и количества всех членов крестьянского (фермерского) хозяйства, включая главу крестьянского (фермерского) хозяйства.</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Если плательщики начинают осуществлять предпринимательскую либо иную профессиональную деятельность в течение расчетного периода, размер страховых взносов, подлежащих уплате ими за этот расчетный период, определяется пропорционально количеству календарных месяцев начиная с календарного месяца начала деятельности. За неполный месяц деятельности размер страховых взносов определяется пропорционально количеству календарных дней этого месяца.</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В целях реализации пункта 3 настоящей статьи календарным месяцем начала деятельности признается:</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для индивидуального предпринимателя календарный месяц, в котором произведена его государственная регистрация в качестве индивидуального предпринимателя;</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2) для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 календарный месяц, в котором адвокат, нотариус, занимающийся частной практикой, арбитражный управляющий, занимающийся частной практикой оценщик, патентный поверенный, медиатор и иные лица, занимающиеся в установленном законодательством Российской Федерации порядке частной практикой, поставлены на учет в налоговом органе.</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Если плательщики прекращают осуществлять предпринимательскую либо иную профессиональную деятельность в течение расчетного периода, соответствующий фиксированный размер страховых взносов, подлежащих уплате ими за этот расчетный период, определяется пропорционально количеству календарных месяцев по месяц, в котором утратила силу государственная регистрация физического лица в качестве индивидуального предпринимателя, или адвокат, нотариус, занимающийся частной практикой, арбитражный управляющий, занимающиеся частной практикой оценщик, патентный поверенный, медиатор и иные лица, занимающиеся в установленном законодательством Российской Федерации порядке частной практикой, сняты с учета в налоговых органах.</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За неполный месяц деятельности соответствующий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качестве индивидуального предпринимателя, дату снятия с учета в налоговых органах адвоката, нотариуса, занимающегося частной практикой, арбитражного управляющего, оценщика, медиатора, патентного поверенного и иных лиц, занимающихся в установленном законодательством Российской Федерации порядке частной практикой, включительно.</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Плательщики, указанные в подпункте 2 пункта 1 статьи 419 настоящего Кодекса, не исчисляют и не уплачивают страховые взносы по обязательному социальному страхованию на случай временной нетрудоспособности и в связи с материнством.</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Плательщики, указанные в подпункте 2 пункта 1 статьи 419 настоящего Кодекса, не исчисляют и не уплачивают страховые взносы на обязательное пенсионное страхование и обязательное медицинское страхование за периоды, указанные в пунктах 1 (в части военной службы по призыву), 3, 6 - 8 части 1 статьи 12 Федерального закона от 28 декабря 2013 года N 400-ФЗ "О страховых пенсиях", а также за периоды, в которых приостановлен статус адвоката и в течение которых ими не осуществлялась соответствующая деятельность.</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 В случае, если в течение расчетного периода плательщиками, имеющими право на освобождение от уплаты страховых взносов на основании пункта 7 настоящей статьи, осуществлялась соответствующая деятельность, такие плательщики уплачивают страховые взносы на обязательное пенсионное страхование и обязательное медицинское страхование в соответствующих размерах пропорционально количеству календарных месяцев, в течение которых ими осуществлялась указанная деятельность.</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В целях применения положений пункта 1 настоящей статьи доход учитывается следующим образом:</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для плательщиков, уплачивающих налог на доходы физических лиц, - в соответствии со статьей 210 настоящего Кодекса (в части дохода от предпринимательской и (или) иной профессиональной деятельности);</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для плательщиков, применяющих систему налогообложения для сельскохозяйственных товаропроизводителей (сельскохозяйственный налог), - в соответствии с пунктом 1 статьи 346.5 настоящего Кодекса;</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для плательщиков, применяющих упрощенную систему налогообложения, - в соответствии со статьей 346.15 настоящего Кодекса;</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для плательщиков, уплачивающих налог на вмененный доход для отдельных видов деятельности, - в соответствии со статьей 346.29 настоящего Кодекса;</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5) для плательщиков, применяющих патентную систему налогообложения, - в соответствии со статьями 346.47 и 346.51 настоящего Кодекса;</w:t>
      </w:r>
    </w:p>
    <w:p w:rsidR="0013597C" w:rsidRDefault="0013597C" w:rsidP="0013597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для плательщиков, применяющих более одного режима налогообложения, - облагаемые доходы от деятельности суммируются.</w:t>
      </w:r>
    </w:p>
    <w:p w:rsidR="00F75A5F" w:rsidRPr="0013597C" w:rsidRDefault="00F75A5F" w:rsidP="0013597C"/>
    <w:sectPr w:rsidR="00F75A5F" w:rsidRPr="00135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9B"/>
    <w:rsid w:val="00006A5E"/>
    <w:rsid w:val="00065D06"/>
    <w:rsid w:val="000A419B"/>
    <w:rsid w:val="000A5FBF"/>
    <w:rsid w:val="0013597C"/>
    <w:rsid w:val="0021397B"/>
    <w:rsid w:val="00397461"/>
    <w:rsid w:val="004F5DB7"/>
    <w:rsid w:val="007152BE"/>
    <w:rsid w:val="008349FC"/>
    <w:rsid w:val="008C0CB0"/>
    <w:rsid w:val="00A17611"/>
    <w:rsid w:val="00EA2491"/>
    <w:rsid w:val="00F75A5F"/>
    <w:rsid w:val="00FB0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688EC-68EF-4ECF-8D49-A75942CD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152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52B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152BE"/>
    <w:rPr>
      <w:color w:val="0000FF"/>
      <w:u w:val="single"/>
    </w:rPr>
  </w:style>
  <w:style w:type="character" w:customStyle="1" w:styleId="apple-converted-space">
    <w:name w:val="apple-converted-space"/>
    <w:basedOn w:val="a0"/>
    <w:rsid w:val="007152BE"/>
  </w:style>
  <w:style w:type="paragraph" w:styleId="a4">
    <w:name w:val="Normal (Web)"/>
    <w:basedOn w:val="a"/>
    <w:uiPriority w:val="99"/>
    <w:semiHidden/>
    <w:unhideWhenUsed/>
    <w:rsid w:val="00715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6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2576">
      <w:bodyDiv w:val="1"/>
      <w:marLeft w:val="0"/>
      <w:marRight w:val="0"/>
      <w:marTop w:val="0"/>
      <w:marBottom w:val="0"/>
      <w:divBdr>
        <w:top w:val="none" w:sz="0" w:space="0" w:color="auto"/>
        <w:left w:val="none" w:sz="0" w:space="0" w:color="auto"/>
        <w:bottom w:val="none" w:sz="0" w:space="0" w:color="auto"/>
        <w:right w:val="none" w:sz="0" w:space="0" w:color="auto"/>
      </w:divBdr>
      <w:divsChild>
        <w:div w:id="243613458">
          <w:marLeft w:val="0"/>
          <w:marRight w:val="0"/>
          <w:marTop w:val="0"/>
          <w:marBottom w:val="0"/>
          <w:divBdr>
            <w:top w:val="none" w:sz="0" w:space="0" w:color="auto"/>
            <w:left w:val="none" w:sz="0" w:space="0" w:color="auto"/>
            <w:bottom w:val="none" w:sz="0" w:space="0" w:color="auto"/>
            <w:right w:val="none" w:sz="0" w:space="0" w:color="auto"/>
          </w:divBdr>
        </w:div>
        <w:div w:id="876814879">
          <w:marLeft w:val="0"/>
          <w:marRight w:val="0"/>
          <w:marTop w:val="0"/>
          <w:marBottom w:val="0"/>
          <w:divBdr>
            <w:top w:val="none" w:sz="0" w:space="0" w:color="auto"/>
            <w:left w:val="none" w:sz="0" w:space="0" w:color="auto"/>
            <w:bottom w:val="none" w:sz="0" w:space="0" w:color="auto"/>
            <w:right w:val="none" w:sz="0" w:space="0" w:color="auto"/>
          </w:divBdr>
        </w:div>
      </w:divsChild>
    </w:div>
    <w:div w:id="181090267">
      <w:bodyDiv w:val="1"/>
      <w:marLeft w:val="0"/>
      <w:marRight w:val="0"/>
      <w:marTop w:val="0"/>
      <w:marBottom w:val="0"/>
      <w:divBdr>
        <w:top w:val="none" w:sz="0" w:space="0" w:color="auto"/>
        <w:left w:val="none" w:sz="0" w:space="0" w:color="auto"/>
        <w:bottom w:val="none" w:sz="0" w:space="0" w:color="auto"/>
        <w:right w:val="none" w:sz="0" w:space="0" w:color="auto"/>
      </w:divBdr>
      <w:divsChild>
        <w:div w:id="521942302">
          <w:marLeft w:val="0"/>
          <w:marRight w:val="0"/>
          <w:marTop w:val="0"/>
          <w:marBottom w:val="0"/>
          <w:divBdr>
            <w:top w:val="none" w:sz="0" w:space="0" w:color="auto"/>
            <w:left w:val="none" w:sz="0" w:space="0" w:color="auto"/>
            <w:bottom w:val="none" w:sz="0" w:space="0" w:color="auto"/>
            <w:right w:val="none" w:sz="0" w:space="0" w:color="auto"/>
          </w:divBdr>
        </w:div>
        <w:div w:id="1535657812">
          <w:marLeft w:val="0"/>
          <w:marRight w:val="0"/>
          <w:marTop w:val="0"/>
          <w:marBottom w:val="0"/>
          <w:divBdr>
            <w:top w:val="none" w:sz="0" w:space="0" w:color="auto"/>
            <w:left w:val="none" w:sz="0" w:space="0" w:color="auto"/>
            <w:bottom w:val="none" w:sz="0" w:space="0" w:color="auto"/>
            <w:right w:val="none" w:sz="0" w:space="0" w:color="auto"/>
          </w:divBdr>
        </w:div>
      </w:divsChild>
    </w:div>
    <w:div w:id="202451852">
      <w:bodyDiv w:val="1"/>
      <w:marLeft w:val="0"/>
      <w:marRight w:val="0"/>
      <w:marTop w:val="0"/>
      <w:marBottom w:val="0"/>
      <w:divBdr>
        <w:top w:val="none" w:sz="0" w:space="0" w:color="auto"/>
        <w:left w:val="none" w:sz="0" w:space="0" w:color="auto"/>
        <w:bottom w:val="none" w:sz="0" w:space="0" w:color="auto"/>
        <w:right w:val="none" w:sz="0" w:space="0" w:color="auto"/>
      </w:divBdr>
      <w:divsChild>
        <w:div w:id="460612118">
          <w:marLeft w:val="0"/>
          <w:marRight w:val="0"/>
          <w:marTop w:val="0"/>
          <w:marBottom w:val="0"/>
          <w:divBdr>
            <w:top w:val="none" w:sz="0" w:space="0" w:color="auto"/>
            <w:left w:val="none" w:sz="0" w:space="0" w:color="auto"/>
            <w:bottom w:val="none" w:sz="0" w:space="0" w:color="auto"/>
            <w:right w:val="none" w:sz="0" w:space="0" w:color="auto"/>
          </w:divBdr>
        </w:div>
        <w:div w:id="113136005">
          <w:marLeft w:val="0"/>
          <w:marRight w:val="0"/>
          <w:marTop w:val="0"/>
          <w:marBottom w:val="0"/>
          <w:divBdr>
            <w:top w:val="none" w:sz="0" w:space="0" w:color="auto"/>
            <w:left w:val="none" w:sz="0" w:space="0" w:color="auto"/>
            <w:bottom w:val="none" w:sz="0" w:space="0" w:color="auto"/>
            <w:right w:val="none" w:sz="0" w:space="0" w:color="auto"/>
          </w:divBdr>
        </w:div>
      </w:divsChild>
    </w:div>
    <w:div w:id="233390957">
      <w:bodyDiv w:val="1"/>
      <w:marLeft w:val="0"/>
      <w:marRight w:val="0"/>
      <w:marTop w:val="0"/>
      <w:marBottom w:val="0"/>
      <w:divBdr>
        <w:top w:val="none" w:sz="0" w:space="0" w:color="auto"/>
        <w:left w:val="none" w:sz="0" w:space="0" w:color="auto"/>
        <w:bottom w:val="none" w:sz="0" w:space="0" w:color="auto"/>
        <w:right w:val="none" w:sz="0" w:space="0" w:color="auto"/>
      </w:divBdr>
      <w:divsChild>
        <w:div w:id="439690299">
          <w:marLeft w:val="0"/>
          <w:marRight w:val="0"/>
          <w:marTop w:val="0"/>
          <w:marBottom w:val="0"/>
          <w:divBdr>
            <w:top w:val="none" w:sz="0" w:space="0" w:color="auto"/>
            <w:left w:val="none" w:sz="0" w:space="0" w:color="auto"/>
            <w:bottom w:val="none" w:sz="0" w:space="0" w:color="auto"/>
            <w:right w:val="none" w:sz="0" w:space="0" w:color="auto"/>
          </w:divBdr>
        </w:div>
        <w:div w:id="1893730408">
          <w:marLeft w:val="0"/>
          <w:marRight w:val="0"/>
          <w:marTop w:val="0"/>
          <w:marBottom w:val="0"/>
          <w:divBdr>
            <w:top w:val="none" w:sz="0" w:space="0" w:color="auto"/>
            <w:left w:val="none" w:sz="0" w:space="0" w:color="auto"/>
            <w:bottom w:val="none" w:sz="0" w:space="0" w:color="auto"/>
            <w:right w:val="none" w:sz="0" w:space="0" w:color="auto"/>
          </w:divBdr>
        </w:div>
      </w:divsChild>
    </w:div>
    <w:div w:id="346714181">
      <w:bodyDiv w:val="1"/>
      <w:marLeft w:val="0"/>
      <w:marRight w:val="0"/>
      <w:marTop w:val="0"/>
      <w:marBottom w:val="0"/>
      <w:divBdr>
        <w:top w:val="none" w:sz="0" w:space="0" w:color="auto"/>
        <w:left w:val="none" w:sz="0" w:space="0" w:color="auto"/>
        <w:bottom w:val="none" w:sz="0" w:space="0" w:color="auto"/>
        <w:right w:val="none" w:sz="0" w:space="0" w:color="auto"/>
      </w:divBdr>
      <w:divsChild>
        <w:div w:id="1818952896">
          <w:marLeft w:val="0"/>
          <w:marRight w:val="0"/>
          <w:marTop w:val="0"/>
          <w:marBottom w:val="0"/>
          <w:divBdr>
            <w:top w:val="none" w:sz="0" w:space="0" w:color="auto"/>
            <w:left w:val="none" w:sz="0" w:space="0" w:color="auto"/>
            <w:bottom w:val="none" w:sz="0" w:space="0" w:color="auto"/>
            <w:right w:val="none" w:sz="0" w:space="0" w:color="auto"/>
          </w:divBdr>
        </w:div>
        <w:div w:id="1184828047">
          <w:marLeft w:val="0"/>
          <w:marRight w:val="0"/>
          <w:marTop w:val="0"/>
          <w:marBottom w:val="0"/>
          <w:divBdr>
            <w:top w:val="none" w:sz="0" w:space="0" w:color="auto"/>
            <w:left w:val="none" w:sz="0" w:space="0" w:color="auto"/>
            <w:bottom w:val="none" w:sz="0" w:space="0" w:color="auto"/>
            <w:right w:val="none" w:sz="0" w:space="0" w:color="auto"/>
          </w:divBdr>
        </w:div>
      </w:divsChild>
    </w:div>
    <w:div w:id="435253630">
      <w:bodyDiv w:val="1"/>
      <w:marLeft w:val="0"/>
      <w:marRight w:val="0"/>
      <w:marTop w:val="0"/>
      <w:marBottom w:val="0"/>
      <w:divBdr>
        <w:top w:val="none" w:sz="0" w:space="0" w:color="auto"/>
        <w:left w:val="none" w:sz="0" w:space="0" w:color="auto"/>
        <w:bottom w:val="none" w:sz="0" w:space="0" w:color="auto"/>
        <w:right w:val="none" w:sz="0" w:space="0" w:color="auto"/>
      </w:divBdr>
      <w:divsChild>
        <w:div w:id="1248878771">
          <w:marLeft w:val="0"/>
          <w:marRight w:val="0"/>
          <w:marTop w:val="0"/>
          <w:marBottom w:val="0"/>
          <w:divBdr>
            <w:top w:val="none" w:sz="0" w:space="0" w:color="auto"/>
            <w:left w:val="none" w:sz="0" w:space="0" w:color="auto"/>
            <w:bottom w:val="none" w:sz="0" w:space="0" w:color="auto"/>
            <w:right w:val="none" w:sz="0" w:space="0" w:color="auto"/>
          </w:divBdr>
        </w:div>
        <w:div w:id="1633485648">
          <w:marLeft w:val="0"/>
          <w:marRight w:val="0"/>
          <w:marTop w:val="0"/>
          <w:marBottom w:val="0"/>
          <w:divBdr>
            <w:top w:val="none" w:sz="0" w:space="0" w:color="auto"/>
            <w:left w:val="none" w:sz="0" w:space="0" w:color="auto"/>
            <w:bottom w:val="none" w:sz="0" w:space="0" w:color="auto"/>
            <w:right w:val="none" w:sz="0" w:space="0" w:color="auto"/>
          </w:divBdr>
        </w:div>
      </w:divsChild>
    </w:div>
    <w:div w:id="816729690">
      <w:bodyDiv w:val="1"/>
      <w:marLeft w:val="0"/>
      <w:marRight w:val="0"/>
      <w:marTop w:val="0"/>
      <w:marBottom w:val="0"/>
      <w:divBdr>
        <w:top w:val="none" w:sz="0" w:space="0" w:color="auto"/>
        <w:left w:val="none" w:sz="0" w:space="0" w:color="auto"/>
        <w:bottom w:val="none" w:sz="0" w:space="0" w:color="auto"/>
        <w:right w:val="none" w:sz="0" w:space="0" w:color="auto"/>
      </w:divBdr>
      <w:divsChild>
        <w:div w:id="723719901">
          <w:marLeft w:val="0"/>
          <w:marRight w:val="0"/>
          <w:marTop w:val="0"/>
          <w:marBottom w:val="0"/>
          <w:divBdr>
            <w:top w:val="none" w:sz="0" w:space="0" w:color="auto"/>
            <w:left w:val="none" w:sz="0" w:space="0" w:color="auto"/>
            <w:bottom w:val="none" w:sz="0" w:space="0" w:color="auto"/>
            <w:right w:val="none" w:sz="0" w:space="0" w:color="auto"/>
          </w:divBdr>
        </w:div>
        <w:div w:id="874464379">
          <w:marLeft w:val="0"/>
          <w:marRight w:val="0"/>
          <w:marTop w:val="0"/>
          <w:marBottom w:val="0"/>
          <w:divBdr>
            <w:top w:val="none" w:sz="0" w:space="0" w:color="auto"/>
            <w:left w:val="none" w:sz="0" w:space="0" w:color="auto"/>
            <w:bottom w:val="none" w:sz="0" w:space="0" w:color="auto"/>
            <w:right w:val="none" w:sz="0" w:space="0" w:color="auto"/>
          </w:divBdr>
        </w:div>
      </w:divsChild>
    </w:div>
    <w:div w:id="1233848991">
      <w:bodyDiv w:val="1"/>
      <w:marLeft w:val="0"/>
      <w:marRight w:val="0"/>
      <w:marTop w:val="0"/>
      <w:marBottom w:val="0"/>
      <w:divBdr>
        <w:top w:val="none" w:sz="0" w:space="0" w:color="auto"/>
        <w:left w:val="none" w:sz="0" w:space="0" w:color="auto"/>
        <w:bottom w:val="none" w:sz="0" w:space="0" w:color="auto"/>
        <w:right w:val="none" w:sz="0" w:space="0" w:color="auto"/>
      </w:divBdr>
    </w:div>
    <w:div w:id="1501577426">
      <w:bodyDiv w:val="1"/>
      <w:marLeft w:val="0"/>
      <w:marRight w:val="0"/>
      <w:marTop w:val="0"/>
      <w:marBottom w:val="0"/>
      <w:divBdr>
        <w:top w:val="none" w:sz="0" w:space="0" w:color="auto"/>
        <w:left w:val="none" w:sz="0" w:space="0" w:color="auto"/>
        <w:bottom w:val="none" w:sz="0" w:space="0" w:color="auto"/>
        <w:right w:val="none" w:sz="0" w:space="0" w:color="auto"/>
      </w:divBdr>
      <w:divsChild>
        <w:div w:id="2029285020">
          <w:marLeft w:val="0"/>
          <w:marRight w:val="0"/>
          <w:marTop w:val="0"/>
          <w:marBottom w:val="0"/>
          <w:divBdr>
            <w:top w:val="none" w:sz="0" w:space="0" w:color="auto"/>
            <w:left w:val="none" w:sz="0" w:space="0" w:color="auto"/>
            <w:bottom w:val="none" w:sz="0" w:space="0" w:color="auto"/>
            <w:right w:val="none" w:sz="0" w:space="0" w:color="auto"/>
          </w:divBdr>
        </w:div>
        <w:div w:id="30695103">
          <w:marLeft w:val="0"/>
          <w:marRight w:val="0"/>
          <w:marTop w:val="0"/>
          <w:marBottom w:val="0"/>
          <w:divBdr>
            <w:top w:val="none" w:sz="0" w:space="0" w:color="auto"/>
            <w:left w:val="none" w:sz="0" w:space="0" w:color="auto"/>
            <w:bottom w:val="none" w:sz="0" w:space="0" w:color="auto"/>
            <w:right w:val="none" w:sz="0" w:space="0" w:color="auto"/>
          </w:divBdr>
        </w:div>
      </w:divsChild>
    </w:div>
    <w:div w:id="1792044454">
      <w:bodyDiv w:val="1"/>
      <w:marLeft w:val="0"/>
      <w:marRight w:val="0"/>
      <w:marTop w:val="0"/>
      <w:marBottom w:val="0"/>
      <w:divBdr>
        <w:top w:val="none" w:sz="0" w:space="0" w:color="auto"/>
        <w:left w:val="none" w:sz="0" w:space="0" w:color="auto"/>
        <w:bottom w:val="none" w:sz="0" w:space="0" w:color="auto"/>
        <w:right w:val="none" w:sz="0" w:space="0" w:color="auto"/>
      </w:divBdr>
      <w:divsChild>
        <w:div w:id="325205941">
          <w:marLeft w:val="0"/>
          <w:marRight w:val="0"/>
          <w:marTop w:val="0"/>
          <w:marBottom w:val="0"/>
          <w:divBdr>
            <w:top w:val="none" w:sz="0" w:space="0" w:color="auto"/>
            <w:left w:val="none" w:sz="0" w:space="0" w:color="auto"/>
            <w:bottom w:val="none" w:sz="0" w:space="0" w:color="auto"/>
            <w:right w:val="none" w:sz="0" w:space="0" w:color="auto"/>
          </w:divBdr>
        </w:div>
        <w:div w:id="687755075">
          <w:marLeft w:val="0"/>
          <w:marRight w:val="0"/>
          <w:marTop w:val="0"/>
          <w:marBottom w:val="0"/>
          <w:divBdr>
            <w:top w:val="none" w:sz="0" w:space="0" w:color="auto"/>
            <w:left w:val="none" w:sz="0" w:space="0" w:color="auto"/>
            <w:bottom w:val="none" w:sz="0" w:space="0" w:color="auto"/>
            <w:right w:val="none" w:sz="0" w:space="0" w:color="auto"/>
          </w:divBdr>
        </w:div>
      </w:divsChild>
    </w:div>
    <w:div w:id="1821994710">
      <w:bodyDiv w:val="1"/>
      <w:marLeft w:val="0"/>
      <w:marRight w:val="0"/>
      <w:marTop w:val="0"/>
      <w:marBottom w:val="0"/>
      <w:divBdr>
        <w:top w:val="none" w:sz="0" w:space="0" w:color="auto"/>
        <w:left w:val="none" w:sz="0" w:space="0" w:color="auto"/>
        <w:bottom w:val="none" w:sz="0" w:space="0" w:color="auto"/>
        <w:right w:val="none" w:sz="0" w:space="0" w:color="auto"/>
      </w:divBdr>
      <w:divsChild>
        <w:div w:id="481117722">
          <w:marLeft w:val="0"/>
          <w:marRight w:val="0"/>
          <w:marTop w:val="0"/>
          <w:marBottom w:val="0"/>
          <w:divBdr>
            <w:top w:val="none" w:sz="0" w:space="0" w:color="auto"/>
            <w:left w:val="none" w:sz="0" w:space="0" w:color="auto"/>
            <w:bottom w:val="none" w:sz="0" w:space="0" w:color="auto"/>
            <w:right w:val="none" w:sz="0" w:space="0" w:color="auto"/>
          </w:divBdr>
        </w:div>
        <w:div w:id="2077580230">
          <w:marLeft w:val="0"/>
          <w:marRight w:val="0"/>
          <w:marTop w:val="0"/>
          <w:marBottom w:val="0"/>
          <w:divBdr>
            <w:top w:val="none" w:sz="0" w:space="0" w:color="auto"/>
            <w:left w:val="none" w:sz="0" w:space="0" w:color="auto"/>
            <w:bottom w:val="none" w:sz="0" w:space="0" w:color="auto"/>
            <w:right w:val="none" w:sz="0" w:space="0" w:color="auto"/>
          </w:divBdr>
        </w:div>
      </w:divsChild>
    </w:div>
    <w:div w:id="1867862594">
      <w:bodyDiv w:val="1"/>
      <w:marLeft w:val="0"/>
      <w:marRight w:val="0"/>
      <w:marTop w:val="0"/>
      <w:marBottom w:val="0"/>
      <w:divBdr>
        <w:top w:val="none" w:sz="0" w:space="0" w:color="auto"/>
        <w:left w:val="none" w:sz="0" w:space="0" w:color="auto"/>
        <w:bottom w:val="none" w:sz="0" w:space="0" w:color="auto"/>
        <w:right w:val="none" w:sz="0" w:space="0" w:color="auto"/>
      </w:divBdr>
      <w:divsChild>
        <w:div w:id="1581863232">
          <w:marLeft w:val="0"/>
          <w:marRight w:val="0"/>
          <w:marTop w:val="0"/>
          <w:marBottom w:val="0"/>
          <w:divBdr>
            <w:top w:val="none" w:sz="0" w:space="0" w:color="auto"/>
            <w:left w:val="none" w:sz="0" w:space="0" w:color="auto"/>
            <w:bottom w:val="none" w:sz="0" w:space="0" w:color="auto"/>
            <w:right w:val="none" w:sz="0" w:space="0" w:color="auto"/>
          </w:divBdr>
        </w:div>
        <w:div w:id="345718928">
          <w:marLeft w:val="0"/>
          <w:marRight w:val="0"/>
          <w:marTop w:val="0"/>
          <w:marBottom w:val="0"/>
          <w:divBdr>
            <w:top w:val="none" w:sz="0" w:space="0" w:color="auto"/>
            <w:left w:val="none" w:sz="0" w:space="0" w:color="auto"/>
            <w:bottom w:val="none" w:sz="0" w:space="0" w:color="auto"/>
            <w:right w:val="none" w:sz="0" w:space="0" w:color="auto"/>
          </w:divBdr>
        </w:div>
      </w:divsChild>
    </w:div>
    <w:div w:id="1964654372">
      <w:bodyDiv w:val="1"/>
      <w:marLeft w:val="0"/>
      <w:marRight w:val="0"/>
      <w:marTop w:val="0"/>
      <w:marBottom w:val="0"/>
      <w:divBdr>
        <w:top w:val="none" w:sz="0" w:space="0" w:color="auto"/>
        <w:left w:val="none" w:sz="0" w:space="0" w:color="auto"/>
        <w:bottom w:val="none" w:sz="0" w:space="0" w:color="auto"/>
        <w:right w:val="none" w:sz="0" w:space="0" w:color="auto"/>
      </w:divBdr>
      <w:divsChild>
        <w:div w:id="1518353474">
          <w:marLeft w:val="0"/>
          <w:marRight w:val="0"/>
          <w:marTop w:val="0"/>
          <w:marBottom w:val="0"/>
          <w:divBdr>
            <w:top w:val="none" w:sz="0" w:space="0" w:color="auto"/>
            <w:left w:val="none" w:sz="0" w:space="0" w:color="auto"/>
            <w:bottom w:val="none" w:sz="0" w:space="0" w:color="auto"/>
            <w:right w:val="none" w:sz="0" w:space="0" w:color="auto"/>
          </w:divBdr>
        </w:div>
        <w:div w:id="129790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430/" TargetMode="External"/><Relationship Id="rId4" Type="http://schemas.openxmlformats.org/officeDocument/2006/relationships/hyperlink" Target="http://www.zakonrf.info/nk/gl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1210</Words>
  <Characters>6901</Characters>
  <Application>Microsoft Office Word</Application>
  <DocSecurity>0</DocSecurity>
  <Lines>57</Lines>
  <Paragraphs>16</Paragraphs>
  <ScaleCrop>false</ScaleCrop>
  <Company>SPecialiST RePack</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2017-04-17T05:23:00Z</dcterms:created>
  <dcterms:modified xsi:type="dcterms:W3CDTF">2017-04-17T13:02:00Z</dcterms:modified>
</cp:coreProperties>
</file>