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9B" w:rsidRDefault="0087769B" w:rsidP="0087769B">
      <w:pPr>
        <w:pStyle w:val="2"/>
        <w:rPr>
          <w:sz w:val="20"/>
          <w:szCs w:val="20"/>
        </w:rPr>
      </w:pPr>
      <w:bookmarkStart w:id="0" w:name="_GoBack"/>
      <w:r>
        <w:rPr>
          <w:sz w:val="20"/>
          <w:szCs w:val="20"/>
        </w:rPr>
        <w:t>Статья 251. Доходы, не учитываемые при определении налоговой базы</w:t>
      </w:r>
    </w:p>
    <w:bookmarkEnd w:id="0"/>
    <w:p w:rsidR="0087769B" w:rsidRDefault="0087769B" w:rsidP="0087769B">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прибыль организаций" w:history="1">
        <w:r>
          <w:rPr>
            <w:rStyle w:val="a3"/>
            <w:b/>
            <w:bCs/>
            <w:color w:val="707070"/>
            <w:sz w:val="20"/>
            <w:szCs w:val="20"/>
            <w:u w:val="none"/>
          </w:rPr>
          <w:t>[Глава 25]</w:t>
        </w:r>
      </w:hyperlink>
      <w:r>
        <w:rPr>
          <w:rStyle w:val="apple-converted-space"/>
        </w:rPr>
        <w:t> </w:t>
      </w:r>
      <w:hyperlink r:id="rId5" w:tooltip="Доходы, не учитываемые при определении налоговой базы" w:history="1">
        <w:r>
          <w:rPr>
            <w:rStyle w:val="a3"/>
            <w:b/>
            <w:bCs/>
            <w:color w:val="707070"/>
            <w:sz w:val="20"/>
            <w:szCs w:val="20"/>
            <w:u w:val="none"/>
          </w:rPr>
          <w:t>[Статья 251]</w:t>
        </w:r>
      </w:hyperlink>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При определении налоговой базы не учитываются следующие доходы:</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в виде имущества, имущественных прав, которые получены в форме залога или задатка в качестве обеспечения обязательств;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3.1) в виде сумм налога на добавленную стоимость, подлежащих налоговому вычету у принимающей организации в соответствии с главой 21 настоящего Кодекса при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3.2) в виде имущественного взноса Российской Федерации, имущественного взноса Центрального банка Российской Федерации в имущество государственной корпорации, государственной компании или фонда, созданных Российской Федерацией на основании федерального закона, формирование уставного капитала в которых не предусмотрено;</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 утратил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3.4)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в том числе путем формирования добавочного капитала и (или) фондов, соответствующими акционерами или участниками. Данное правило распространяется также на случаи увеличения чистых активов хозяйственного общества или товарищества с 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 если такое увеличение чистых активов происходит в соответствии с положениями, предусмотренными законодательством Российской Федерации или положениями учредительных документов хозяйственного общества или товарищества, либо явилось следствием волеизъявления акционера или участника хозяйственного общества, товарищества, и на случаи восстановления в составе нераспределенной прибыли хозяйственного общества или товарищества невостребованных акционерами или участниками хозяйственного общества, товарищества дивидендов либо части распределенной прибыли хозяйственного общества или товарищества;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или наследником), при уменьшении уставного капитала в соответствии с законодательством Российской Федерации,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в виде имущества, имущественных прав и (или) неимущественных прав, имеющих денежную оценку, которые получены в пределах вклада участником договора простого товарищества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6) в виде средств и иного имущества, которые получены в виде безвозмездной помощи (содействия) в порядке, установленном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w:t>
      </w:r>
      <w:r>
        <w:rPr>
          <w:rFonts w:ascii="Arial" w:hAnsi="Arial" w:cs="Arial"/>
          <w:color w:val="000000"/>
          <w:sz w:val="20"/>
          <w:szCs w:val="20"/>
        </w:rPr>
        <w:lastRenderedPageBreak/>
        <w:t>государственные внебюджетные фонды в связи с осуществлением безвозмездной помощи (содействия)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в виде основных средств и нематериальных активов, безвозмездно полученных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используемых для производственных целей;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в виде имущества, полученного государственными и муниципальными учреждениями по решению органов исполнительной власти всех уровней;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 виде имущества (включая денежные средства), поступившего комиссионеру, агенту и (или) иному поверенному в связи с исполнением обязательств по договору комиссии, агентскому договору или другому аналогичному договору,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 К указанным доходам не относится комиссионное, агентское или иное аналогичное вознаграждение;</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в виде средств или иного имущества, которые получены по договорам кредита или займа (иных аналогичных средств или иного имущества независимо от формы 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в виде имущества, полученного российской организацией безвозмездно:</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организации, если уставный (складочный) капитал (фонд) получающей стороны более чем на 50 процентов состоит из вклада (доли) передающей организации;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организации, если уставный (складочный) капитал (фонд) передающей стороны более чем на 50 процентов состоит из вклада (доли) получающей организации и на день передачи имущества получающая организация владеет на праве собственности указанным вкладом (долей) в уставном (складочном) капитале (фонде). При этом в случае, если передающая имущество организация является иностранной организацией, доходы, указанные в настоящем подпункте, не учитываются при определении налоговой базы только в том случае, если государство постоянного местонахождения передающей организации не включено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физического лица, если уставный (складочный) капитал (фонд) получающей стороны более чем на 50 процентов состоит из вклада (доли) этого физического лица.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в виде сумм процентов, полученных в соответствии с требованиями статей 78, 79, 176, 176.1 и 203 настоящего Кодекса из бюджета (внебюджетного фонда);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в виде сумм гарантийных взносов в специальные фонды, создаваемые в соответствии с законодательством Российской Федерации, предназначенные для снижения рисков неисполнения обязательств по сделкам, получаемых при осуществлении клиринговой деятельности или деятельности по организации торговли на рынке ценных бумаг;</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13.1) в виде взносов в компенсационные фонды, создаваемые в соответствии с законодательством Российской Федерации и предназначенные для возмещения убытков, причиненных в результате несостоятельности (банкротства) форекс-дилеров;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13.2) в виде клиринговых сертификатов участия, полученных от клиринговой организации, выдавшей такие сертификаты, а также в виде имущества, полученного от клиринговой организации при погашении принадлежащих налогоплательщику клиринговых сертификатов </w:t>
      </w:r>
      <w:r>
        <w:rPr>
          <w:rFonts w:ascii="Arial" w:hAnsi="Arial" w:cs="Arial"/>
          <w:color w:val="000000"/>
          <w:sz w:val="20"/>
          <w:szCs w:val="20"/>
        </w:rPr>
        <w:lastRenderedPageBreak/>
        <w:t>участия в соответствии с Федеральным законом от 7 февраля 2011 года N 7-ФЗ "О клиринге и клиринговой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лимитов бюджетных обязательств (бюджетных ассигнований), доведенных до 1 июля 2012 года в установленном порядке до бюджетных учреждений, являющихся получателями бюджетных средств;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бюджетов, выделяемых осуществляющим управление многоквартирными домами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долевое финансирование проведения капитального ремонта многоквартирных домов в соответствии с Федеральным законом "О Фонде содействия реформированию жилищно-коммунального хозяйства";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кодексом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Жилищным кодексом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организациям, оказывающим услуги и (или) выполняющим работы по содержанию и ремонту общего имущества в таких домах;</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инвестиций, полученных при проведении инвестиционных конкурсов (торгов) в порядке, установленном законодательством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в виде аккумулированных на счетах организации-застройщика средств дольщиков и (или) инвесторов;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полученных обществом взаимного страхования от организаций - членов общества взаимного страхования;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Указанные средства подлежат включению в состав внереализационных доходов в случае, если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страховых взносов банков в фонд страхования вкладов в соответствии с федеральным законом о страховании вкладов физических лиц в банках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на финансирование проведения ремонта, капитального ремонта общего имущества многоквартирных домов;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сумм возмещений, полученных негосударственными пенсионными фондами, Пенсионным фондом Российской Федерации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15) в виде стоимости дополнительно полученных организацией - акционером акций, распределенных между акционерами по решению общего собрания пропорционально количеству принадлежащих им акций,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акционерного общества (без изменения доли участия акционера в этом акционерном обществе);</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в виде положительной разницы, образовавшейся в результате переоценки драгоценных камней при изменении в установленном порядке прейскурантов расчетных цен на драгоценные камни;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 в виде стоимости материалов и иного имущества, которые получены при демонтаже, разборке при ликвидации выводимых из эксплуатации объектов, уничтожаемых в соответствии со статьей 5 Конвенции о запрещении разработки, производства, накопления и применения химического оружия и о его уничтожении и с частью 5 Приложения по проверке к Конвенции о запрещении разработки, производства, накопления и применения химического оружия и о его уничтожении;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 в виде имущества и (или) имущественных прав, которые получены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направлены на восстановление и содержание указанных запасов;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22) в виде имущества, безвозмездно полученного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23) в виде основных средств, полученных организациями, входящими в структуру Общероссийской общественно-государственной организации "Добровольное общество содействия армии, авиации и флоту России" (ДОСААФ России) (при передаче их между двумя и более организациями, входящими в 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24) в виде положительной разницы, полученной при переоценке ценных бумаг по рыночной стоимости;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25) в виде сумм восстановленных резервов под обесценение ценных бумаг (за исключением резервов, расходы на создание которых в соответствии со статьей 300 настоящего Кодекса ранее уменьшали налоговую базу);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26)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27) в виде имущества (включая денежные средства) и (или) имущественных прав, которые получены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28)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29) 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30) утратил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31) в виде сумм дохода от инвестирования средств пенсионных накоплений, формируемых в соответствии с законодательством Российской Федерации, полученных организациями, выступающими в качестве страховщиков по обязательному пенсионному страхованию;</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32) 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 доходы судовладельцев, полученные от эксплуатации и (или) реализации судов, зарегистрированных в Российском международном реестре судов. Для целей настоящей главы под эксплуатацией судов, зарегистрированных в Российском международном реестре судов,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33.1) в виде средств, полученных казенными учреждениями от оказания услуг (выполнения работ);</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33.2) доходы судовладельцев, полученные от эксплуатации и (или) 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 При этом под эксплуатацией таких судов в целях настоящего подпункта понимается их использование для перевозок грузов, пассажиров и их багажа, буксировки и обеспечения указанных услуг и видов деятельности независимо от расположения пункта отправления и (или) пункта назначения, а также сдача таких судов в аренду для данного использования;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34) доходы банка развития - государственной корпорации;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34.1) доходы автономной некоммерческой организации, созданной в соответствии с Федеральным законом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34.2) в виде денежных средств, оставшихся после ликвидации автономной некоммерческой организации, созданной в соответствии с Федеральным законом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и зачисляемых в фонд обязательного страхования вкладов;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35) в виде сумм дохода от инвестирования накоплений для жилищного обеспечения военнослужащих, предназначенных для распределения по именным накопительным счетам участников накопительно-ипотечной системы жилищного обеспечения военнослужащих;</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36) утратил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36.1) утратил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37) в виде имущества и (или) имущественных прав, полученных по концессионному соглашению в соответствии с законодательством Российской Федерации;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38) доходы осуществляющей функции по предоставлению финансовой поддержки на проведение капитального ремонта многоквартирных домов, переселение граждан из аварийного жилищного фонда и модернизацию систем коммунальной инфраструктуры в соответствии с Федеральным законом от 21 июля 2007 года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некоммерческой организации, которые получены от размещения (инвестирования) временно свободных денежных средств;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39) денежные средства в пределах выплаты потерпевшему, полученные страховщиком, осуществившим прямое возмещение убытков потерпевшему в соответствии с законодательством Российской Федерации об обязательном страховании гражданской ответственности владельцев транспортных средств, от страховщика, который застраховал гражданскую ответственность лица, причинившего вред имуществу потерпевшего;</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40) 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41) доходы в денежной и (или) натуральной формах,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или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а именно:</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от реализации рекламных услуг, в том числе спонсорской рекламы;</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от реализации имущественных прав (в том числе прав использования результатов интеллектуальной деятельности и (или) средств индивидуализации);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виде имущества (включая денежные средства) и имущественных прав, полученных от автономной некоммерческой организации "Организационный комитет XXII Олимпийских зимних игр и XI Паралимпийских зимних игр 2014 года в г. Сочи";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полученные от размещения временно свободных денежных средств.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указанные в настоящем подпункте, не учитываются при определении налоговой базы при условии направления полученных доходов на цели деятельности, предусмотренные статьями 11 и 12 Федерального закона от 4 декабря 2007 года N 329-ФЗ "О физической культуре и спорте в Российской Федерации", а также уставными документами указанных общероссийских общественных объединений;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42) в виде денежных средств, недвижимого имущества, ценных бумаг, переданных на формирование или пополнение целевого капитала некоммерческой организации в установленном Федеральным законом от 30 декабря 2006 года N 275-ФЗ "О порядке формирования и использования целевого капитала некоммерческих организаций" порядке и возвращенных жертвователю или его правопреемникам в случае расформирования целевого капитала некоммерческой организации, отмены пожертвования или в ином случае, если возврат имущества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При возврате недвижимого имущества или ценных бумаг жертвователь учитывает такое имущество по стоимости (остаточной стоимости),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Правопреемники жертвователя учитывают такое имущество по стоимости (остаточной стоимости) на дату его передачи на пополнение целевого капитала некоммерческой организации;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43) проценты от размещения на депозитных счетах в кредитных организациях денежных средств, полученных на формирование или пополнение целевого капитала некоммерческой организации или возвращенных управляющей компанией в связи с прекращением действия договора доверительного управления имуществом, дивиденды, процентный (купонный) доход, иные подлежащие передаче в управление управляющей компании в соответствии с Федеральным законом от 30 декабря 2006 года N 275-ФЗ "О порядке формирования и использования целевого капитала некоммерческих организаций" доходы некоммерческой организации - собственника целевого капитала от погашения по ценным бумагам, полученным на пополнение целевого капитала некоммерческой организации или возвращенным управляющей компанией в связи с прекращением действия договора доверительного управления имуществом;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44) денежные средства, полученные ответственным участником консолидированной группы налогоплательщиков от других участников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денежные средства, полученные участником консолидированной группы налогоплательщиков от ответственного участника этой группы налогоплательщиков в связи с уточнением сумм налога (авансовых платежей, пеней, штрафов), подлежащих уплате по этой группе налогоплательщиков;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45) доходы, полученные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указанными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в виде безвозмездно полученного 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определенных указанным Федеральным законом, составляет не менее чем 90 процентов от суммы всех доходов за соответствующий налоговый период;</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46) в виде средств сборов за аэронавигационное обслуживание полетов воздушных судов в воздушном пространстве Российской Федерации, а также в виде средств,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 освобожденных в соответствии с законодательством Российской Федерации от платы за аэронавигационное обслуживание;</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47) пенсионные взносы в негосударственные пенсионные фонды, если они в размере не менее 97 процентов направляются на формирование пенсионных резервов негосударственного пенсионного фонда;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48) пенсионные накопления, в том числе страховые взносы по обязательному пенсионному страхованию, формируемые в соответствии с законодательством Российской Федерации и настоящим Кодексом;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49) доход негосударственного пенсионного фонда, являющегося некоммерческой организацией, полученный от реализации акций акционерного пенсионного фонда, которые были приобретены указанной некоммерческой организацией в результате ее реорганизации в форме выделения некоммерческого пенсионного фонда с одновременным его преобразованием в акционерный пенсионный фонд, при условии направления этого дохода на формирование страхового резерва негосударственного пенсионного фонда;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50) в виде дивидендов, полученных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подпунктом 1 или 2 пункта 3 статьи 284 настоящего Кодекса с учетом порядка, предусмотренного статьей 312 настоящего Кодекса.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Доходы, указанные в настоящем подпункте, не учитываются при определении налоговой базы при условии документального подтверждения удержания налога налоговым агентом либо документального подтверждения оснований для применения налоговой ставки, предусмотренной подпунктом 1 пункта 3 статьи 284 настоящего Кодекса, и наличия фактического права на эти дивиденды;</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51) в виде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созданные в ходе реализации государственного контракта, которые переданы исполнителю этого государственного контракта его государственным заказчиком по договору о безвозмездном отчуждении;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52) в виде доходов, полученных организацией, осуществляющей в соответствии с федеральным законом функции по обязательному страхованию вкладов физических лиц в банках Российской Федерации (далее в настоящем подпункте - организация), при осуществлении мер, предусмотренных статьями 3 - 3.2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а именно:</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купонного дохода по облигациям федерального займа, внесенным в качестве имущественного взноса Российской Федерации в имущество организации;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доходов в виде процентов, получаемых организацией по договорам субординированного займа, заключенным с банками, и по субординированным облигациям банков;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доходов в виде штрафов, уплаченных банками в связи с нарушением ими обязательств при осуществлении мер, предусмотренных статьями 3 - 3.2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доходов в виде дивидендов, получаемых организацией по привилегированным акциям банков, приобретенным путем оплаты этих акций облигациями федерального займа, внесенными в качестве имущественного взноса Российской Федерации в имущество организации;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доходов в виде дивидендов, получаемых организацией по обыкновенным акциям банков, приобретенным в результате осуществления мены требований организации по договорам субординированного займа на обыкновенные акции банков или конвертации субординированных облигаций банков в обыкновенные акции банков;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купонного дохода по облигациям федерального займа, переданным организацией банкам по договорам субординированного займа, включаемого в доходы организации на основании пункта 5 статьи 282.1 настоящего Кодекса.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указанные в абзацах втором - шестом настоящего подпункта, не учитываются при определении налоговой базы при условии перечисления таких доходов организацией в полном объеме в федеральный бюджет в соответствии с федеральным законом, договором об осуществлении имущественного взноса Российской Федерации в имущество организации или решением совета директоров организации;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53) в виде дивидендов, полученных налогоплательщиком - контролирующим лицом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и при выполнении условий, установленных настоящим подпунктом.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Доходы в виде дивидендов, указанные в настоящем подпункте, не учитываются при определении налоговой базы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Доходы, указанные в настоящем подпункте, освобождаются от налогообложения при условии наличия у этого налогоплательщика следующих документов: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 пунктом 11 статьи 309.1 настоящего Кодекса;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54) доходы, полученные акционерным обществом, 100 процентов акций которого принадлежат Российской Федерации, от реализации акций иных организаций, при условии перечисления таких доходов в полном объеме в федеральный бюджет;</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55) в виде услуг, указанных в подпункте 6 пункта 4 статьи 105.14 настоящего Кодекса.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К целевым поступлениям на содержание некоммерческих организаций и ведение ими уставной деятельности относятся: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статьей 324 настоящего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целевые поступления на формирование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имущество, имущественные права, переходящие некоммерческим организациям по завещанию в порядке наследования;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средства и иное имущество, имущественные права, которые получены на осуществление благотворительной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совокупный вклад учредителей негосударственных пенсионных фондов;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6) - 6.1) утратили силу;</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использованные по целевому назначению поступления от собственников созданным ими учреждениям;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отчисления адвокатских палат субъектов Российской Федерации на общие нужды Федеральной палаты адвокатов в размерах и порядке, которые определяются Всероссийским съездом адвокатов; отчисления адвокатов на общие нужды адвокатской палаты соответствующего субъекта Российской Федерации в размерах и порядке, которые определяются ежегодным собранием (конференцией) адвокатов адвокатской палаты этого субъекта Российской Федерации, а также на содержание соответствующего адвокатского кабинета, коллегии адвокатов или адвокатского бюро;</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10.1) 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в целях настоящей статьи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10.2) 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14) 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16)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17) средства, которые получены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компенсационных выплат, предусмотренных указанным Федеральным законом, а также средства, полученные в соответствии с указанным Федеральным законом этим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18) средства, которые получены объединением туроператоров в сфере выездного туризма, созданным в соответствии с Федеральным законом от 24 ноября 1996 года N 132-ФЗ "Об основах туристской деятельности в Российской Федерации", в виде взносов, перечисленных в резервный фонд объединения туроператоров в сфере выездного туризма и фонды персональной ответственности туроператоров в сфере выездного туризма, предназначенные для финансирования предусмотренных указанным Федеральным законом расходов на оказание экстренной помощи туристам и на возмещение реального ущерба туристам,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19) средства, которые получены объединением страховщиков, созданным в соответствии с Федеральным законом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предназначены для формирования фонда компенсационных выплат и осуществления компенсационных выплат, предусмотренных указанным Федеральным законом;</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20) 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p w:rsidR="0087769B" w:rsidRDefault="0087769B" w:rsidP="0087769B">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w:t>
      </w:r>
    </w:p>
    <w:p w:rsidR="00ED2725" w:rsidRPr="0087769B" w:rsidRDefault="00ED2725" w:rsidP="0087769B"/>
    <w:sectPr w:rsidR="00ED2725" w:rsidRPr="00877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C4"/>
    <w:rsid w:val="00024DE0"/>
    <w:rsid w:val="00185B0B"/>
    <w:rsid w:val="004D0903"/>
    <w:rsid w:val="007109C4"/>
    <w:rsid w:val="00747D2F"/>
    <w:rsid w:val="007F5DFA"/>
    <w:rsid w:val="0087769B"/>
    <w:rsid w:val="0095148E"/>
    <w:rsid w:val="00D90BDB"/>
    <w:rsid w:val="00ED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C41C-9BCE-4F77-A8B0-6E972A8F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F5D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DF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5DFA"/>
    <w:rPr>
      <w:color w:val="0000FF"/>
      <w:u w:val="single"/>
    </w:rPr>
  </w:style>
  <w:style w:type="character" w:customStyle="1" w:styleId="apple-converted-space">
    <w:name w:val="apple-converted-space"/>
    <w:basedOn w:val="a0"/>
    <w:rsid w:val="007F5DFA"/>
  </w:style>
  <w:style w:type="paragraph" w:styleId="a4">
    <w:name w:val="Normal (Web)"/>
    <w:basedOn w:val="a"/>
    <w:uiPriority w:val="99"/>
    <w:semiHidden/>
    <w:unhideWhenUsed/>
    <w:rsid w:val="007F5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3072">
      <w:bodyDiv w:val="1"/>
      <w:marLeft w:val="0"/>
      <w:marRight w:val="0"/>
      <w:marTop w:val="0"/>
      <w:marBottom w:val="0"/>
      <w:divBdr>
        <w:top w:val="none" w:sz="0" w:space="0" w:color="auto"/>
        <w:left w:val="none" w:sz="0" w:space="0" w:color="auto"/>
        <w:bottom w:val="none" w:sz="0" w:space="0" w:color="auto"/>
        <w:right w:val="none" w:sz="0" w:space="0" w:color="auto"/>
      </w:divBdr>
      <w:divsChild>
        <w:div w:id="1184321047">
          <w:marLeft w:val="0"/>
          <w:marRight w:val="0"/>
          <w:marTop w:val="0"/>
          <w:marBottom w:val="0"/>
          <w:divBdr>
            <w:top w:val="none" w:sz="0" w:space="0" w:color="auto"/>
            <w:left w:val="none" w:sz="0" w:space="0" w:color="auto"/>
            <w:bottom w:val="none" w:sz="0" w:space="0" w:color="auto"/>
            <w:right w:val="none" w:sz="0" w:space="0" w:color="auto"/>
          </w:divBdr>
        </w:div>
        <w:div w:id="1609266942">
          <w:marLeft w:val="0"/>
          <w:marRight w:val="0"/>
          <w:marTop w:val="0"/>
          <w:marBottom w:val="0"/>
          <w:divBdr>
            <w:top w:val="none" w:sz="0" w:space="0" w:color="auto"/>
            <w:left w:val="none" w:sz="0" w:space="0" w:color="auto"/>
            <w:bottom w:val="none" w:sz="0" w:space="0" w:color="auto"/>
            <w:right w:val="none" w:sz="0" w:space="0" w:color="auto"/>
          </w:divBdr>
        </w:div>
      </w:divsChild>
    </w:div>
    <w:div w:id="566917401">
      <w:bodyDiv w:val="1"/>
      <w:marLeft w:val="0"/>
      <w:marRight w:val="0"/>
      <w:marTop w:val="0"/>
      <w:marBottom w:val="0"/>
      <w:divBdr>
        <w:top w:val="none" w:sz="0" w:space="0" w:color="auto"/>
        <w:left w:val="none" w:sz="0" w:space="0" w:color="auto"/>
        <w:bottom w:val="none" w:sz="0" w:space="0" w:color="auto"/>
        <w:right w:val="none" w:sz="0" w:space="0" w:color="auto"/>
      </w:divBdr>
      <w:divsChild>
        <w:div w:id="1993637044">
          <w:marLeft w:val="0"/>
          <w:marRight w:val="0"/>
          <w:marTop w:val="0"/>
          <w:marBottom w:val="0"/>
          <w:divBdr>
            <w:top w:val="none" w:sz="0" w:space="0" w:color="auto"/>
            <w:left w:val="none" w:sz="0" w:space="0" w:color="auto"/>
            <w:bottom w:val="none" w:sz="0" w:space="0" w:color="auto"/>
            <w:right w:val="none" w:sz="0" w:space="0" w:color="auto"/>
          </w:divBdr>
        </w:div>
        <w:div w:id="667638514">
          <w:marLeft w:val="0"/>
          <w:marRight w:val="0"/>
          <w:marTop w:val="0"/>
          <w:marBottom w:val="0"/>
          <w:divBdr>
            <w:top w:val="none" w:sz="0" w:space="0" w:color="auto"/>
            <w:left w:val="none" w:sz="0" w:space="0" w:color="auto"/>
            <w:bottom w:val="none" w:sz="0" w:space="0" w:color="auto"/>
            <w:right w:val="none" w:sz="0" w:space="0" w:color="auto"/>
          </w:divBdr>
        </w:div>
      </w:divsChild>
    </w:div>
    <w:div w:id="888804297">
      <w:bodyDiv w:val="1"/>
      <w:marLeft w:val="0"/>
      <w:marRight w:val="0"/>
      <w:marTop w:val="0"/>
      <w:marBottom w:val="0"/>
      <w:divBdr>
        <w:top w:val="none" w:sz="0" w:space="0" w:color="auto"/>
        <w:left w:val="none" w:sz="0" w:space="0" w:color="auto"/>
        <w:bottom w:val="none" w:sz="0" w:space="0" w:color="auto"/>
        <w:right w:val="none" w:sz="0" w:space="0" w:color="auto"/>
      </w:divBdr>
      <w:divsChild>
        <w:div w:id="1048840874">
          <w:marLeft w:val="0"/>
          <w:marRight w:val="0"/>
          <w:marTop w:val="0"/>
          <w:marBottom w:val="0"/>
          <w:divBdr>
            <w:top w:val="none" w:sz="0" w:space="0" w:color="auto"/>
            <w:left w:val="none" w:sz="0" w:space="0" w:color="auto"/>
            <w:bottom w:val="none" w:sz="0" w:space="0" w:color="auto"/>
            <w:right w:val="none" w:sz="0" w:space="0" w:color="auto"/>
          </w:divBdr>
        </w:div>
        <w:div w:id="396249448">
          <w:marLeft w:val="0"/>
          <w:marRight w:val="0"/>
          <w:marTop w:val="0"/>
          <w:marBottom w:val="0"/>
          <w:divBdr>
            <w:top w:val="none" w:sz="0" w:space="0" w:color="auto"/>
            <w:left w:val="none" w:sz="0" w:space="0" w:color="auto"/>
            <w:bottom w:val="none" w:sz="0" w:space="0" w:color="auto"/>
            <w:right w:val="none" w:sz="0" w:space="0" w:color="auto"/>
          </w:divBdr>
        </w:div>
      </w:divsChild>
    </w:div>
    <w:div w:id="1100488824">
      <w:bodyDiv w:val="1"/>
      <w:marLeft w:val="0"/>
      <w:marRight w:val="0"/>
      <w:marTop w:val="0"/>
      <w:marBottom w:val="0"/>
      <w:divBdr>
        <w:top w:val="none" w:sz="0" w:space="0" w:color="auto"/>
        <w:left w:val="none" w:sz="0" w:space="0" w:color="auto"/>
        <w:bottom w:val="none" w:sz="0" w:space="0" w:color="auto"/>
        <w:right w:val="none" w:sz="0" w:space="0" w:color="auto"/>
      </w:divBdr>
      <w:divsChild>
        <w:div w:id="1215969656">
          <w:marLeft w:val="0"/>
          <w:marRight w:val="0"/>
          <w:marTop w:val="0"/>
          <w:marBottom w:val="0"/>
          <w:divBdr>
            <w:top w:val="none" w:sz="0" w:space="0" w:color="auto"/>
            <w:left w:val="none" w:sz="0" w:space="0" w:color="auto"/>
            <w:bottom w:val="none" w:sz="0" w:space="0" w:color="auto"/>
            <w:right w:val="none" w:sz="0" w:space="0" w:color="auto"/>
          </w:divBdr>
        </w:div>
        <w:div w:id="1069572755">
          <w:marLeft w:val="0"/>
          <w:marRight w:val="0"/>
          <w:marTop w:val="0"/>
          <w:marBottom w:val="0"/>
          <w:divBdr>
            <w:top w:val="none" w:sz="0" w:space="0" w:color="auto"/>
            <w:left w:val="none" w:sz="0" w:space="0" w:color="auto"/>
            <w:bottom w:val="none" w:sz="0" w:space="0" w:color="auto"/>
            <w:right w:val="none" w:sz="0" w:space="0" w:color="auto"/>
          </w:divBdr>
        </w:div>
      </w:divsChild>
    </w:div>
    <w:div w:id="1138112428">
      <w:bodyDiv w:val="1"/>
      <w:marLeft w:val="0"/>
      <w:marRight w:val="0"/>
      <w:marTop w:val="0"/>
      <w:marBottom w:val="0"/>
      <w:divBdr>
        <w:top w:val="none" w:sz="0" w:space="0" w:color="auto"/>
        <w:left w:val="none" w:sz="0" w:space="0" w:color="auto"/>
        <w:bottom w:val="none" w:sz="0" w:space="0" w:color="auto"/>
        <w:right w:val="none" w:sz="0" w:space="0" w:color="auto"/>
      </w:divBdr>
      <w:divsChild>
        <w:div w:id="448012236">
          <w:marLeft w:val="0"/>
          <w:marRight w:val="0"/>
          <w:marTop w:val="0"/>
          <w:marBottom w:val="0"/>
          <w:divBdr>
            <w:top w:val="none" w:sz="0" w:space="0" w:color="auto"/>
            <w:left w:val="none" w:sz="0" w:space="0" w:color="auto"/>
            <w:bottom w:val="none" w:sz="0" w:space="0" w:color="auto"/>
            <w:right w:val="none" w:sz="0" w:space="0" w:color="auto"/>
          </w:divBdr>
        </w:div>
        <w:div w:id="1467358428">
          <w:marLeft w:val="0"/>
          <w:marRight w:val="0"/>
          <w:marTop w:val="0"/>
          <w:marBottom w:val="0"/>
          <w:divBdr>
            <w:top w:val="none" w:sz="0" w:space="0" w:color="auto"/>
            <w:left w:val="none" w:sz="0" w:space="0" w:color="auto"/>
            <w:bottom w:val="none" w:sz="0" w:space="0" w:color="auto"/>
            <w:right w:val="none" w:sz="0" w:space="0" w:color="auto"/>
          </w:divBdr>
        </w:div>
      </w:divsChild>
    </w:div>
    <w:div w:id="1876770098">
      <w:bodyDiv w:val="1"/>
      <w:marLeft w:val="0"/>
      <w:marRight w:val="0"/>
      <w:marTop w:val="0"/>
      <w:marBottom w:val="0"/>
      <w:divBdr>
        <w:top w:val="none" w:sz="0" w:space="0" w:color="auto"/>
        <w:left w:val="none" w:sz="0" w:space="0" w:color="auto"/>
        <w:bottom w:val="none" w:sz="0" w:space="0" w:color="auto"/>
        <w:right w:val="none" w:sz="0" w:space="0" w:color="auto"/>
      </w:divBdr>
      <w:divsChild>
        <w:div w:id="377897957">
          <w:marLeft w:val="0"/>
          <w:marRight w:val="0"/>
          <w:marTop w:val="0"/>
          <w:marBottom w:val="0"/>
          <w:divBdr>
            <w:top w:val="none" w:sz="0" w:space="0" w:color="auto"/>
            <w:left w:val="none" w:sz="0" w:space="0" w:color="auto"/>
            <w:bottom w:val="none" w:sz="0" w:space="0" w:color="auto"/>
            <w:right w:val="none" w:sz="0" w:space="0" w:color="auto"/>
          </w:divBdr>
        </w:div>
        <w:div w:id="1253204605">
          <w:marLeft w:val="0"/>
          <w:marRight w:val="0"/>
          <w:marTop w:val="0"/>
          <w:marBottom w:val="0"/>
          <w:divBdr>
            <w:top w:val="none" w:sz="0" w:space="0" w:color="auto"/>
            <w:left w:val="none" w:sz="0" w:space="0" w:color="auto"/>
            <w:bottom w:val="none" w:sz="0" w:space="0" w:color="auto"/>
            <w:right w:val="none" w:sz="0" w:space="0" w:color="auto"/>
          </w:divBdr>
        </w:div>
      </w:divsChild>
    </w:div>
    <w:div w:id="2033533973">
      <w:bodyDiv w:val="1"/>
      <w:marLeft w:val="0"/>
      <w:marRight w:val="0"/>
      <w:marTop w:val="0"/>
      <w:marBottom w:val="0"/>
      <w:divBdr>
        <w:top w:val="none" w:sz="0" w:space="0" w:color="auto"/>
        <w:left w:val="none" w:sz="0" w:space="0" w:color="auto"/>
        <w:bottom w:val="none" w:sz="0" w:space="0" w:color="auto"/>
        <w:right w:val="none" w:sz="0" w:space="0" w:color="auto"/>
      </w:divBdr>
      <w:divsChild>
        <w:div w:id="2086488707">
          <w:marLeft w:val="0"/>
          <w:marRight w:val="0"/>
          <w:marTop w:val="0"/>
          <w:marBottom w:val="0"/>
          <w:divBdr>
            <w:top w:val="none" w:sz="0" w:space="0" w:color="auto"/>
            <w:left w:val="none" w:sz="0" w:space="0" w:color="auto"/>
            <w:bottom w:val="none" w:sz="0" w:space="0" w:color="auto"/>
            <w:right w:val="none" w:sz="0" w:space="0" w:color="auto"/>
          </w:divBdr>
        </w:div>
        <w:div w:id="762261133">
          <w:marLeft w:val="0"/>
          <w:marRight w:val="0"/>
          <w:marTop w:val="0"/>
          <w:marBottom w:val="0"/>
          <w:divBdr>
            <w:top w:val="none" w:sz="0" w:space="0" w:color="auto"/>
            <w:left w:val="none" w:sz="0" w:space="0" w:color="auto"/>
            <w:bottom w:val="none" w:sz="0" w:space="0" w:color="auto"/>
            <w:right w:val="none" w:sz="0" w:space="0" w:color="auto"/>
          </w:divBdr>
        </w:div>
      </w:divsChild>
    </w:div>
    <w:div w:id="21346665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633">
          <w:marLeft w:val="0"/>
          <w:marRight w:val="0"/>
          <w:marTop w:val="0"/>
          <w:marBottom w:val="0"/>
          <w:divBdr>
            <w:top w:val="none" w:sz="0" w:space="0" w:color="auto"/>
            <w:left w:val="none" w:sz="0" w:space="0" w:color="auto"/>
            <w:bottom w:val="none" w:sz="0" w:space="0" w:color="auto"/>
            <w:right w:val="none" w:sz="0" w:space="0" w:color="auto"/>
          </w:divBdr>
        </w:div>
        <w:div w:id="127745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51/" TargetMode="External"/><Relationship Id="rId4" Type="http://schemas.openxmlformats.org/officeDocument/2006/relationships/hyperlink" Target="http://www.zakonrf.info/nk/gl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6962</Words>
  <Characters>39690</Characters>
  <Application>Microsoft Office Word</Application>
  <DocSecurity>0</DocSecurity>
  <Lines>330</Lines>
  <Paragraphs>93</Paragraphs>
  <ScaleCrop>false</ScaleCrop>
  <Company>SPecialiST RePack</Company>
  <LinksUpToDate>false</LinksUpToDate>
  <CharactersWithSpaces>46559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2017-05-27T18:26:00Z</dcterms:created>
  <dcterms:modified xsi:type="dcterms:W3CDTF">2017-05-28T11:23:00Z</dcterms:modified>
</cp:coreProperties>
</file>