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B00" w:rsidRDefault="00267B00" w:rsidP="00267B00">
      <w:pPr>
        <w:pStyle w:val="2"/>
        <w:rPr>
          <w:sz w:val="20"/>
          <w:szCs w:val="20"/>
        </w:rPr>
      </w:pPr>
      <w:bookmarkStart w:id="0" w:name="_GoBack"/>
      <w:r>
        <w:rPr>
          <w:sz w:val="20"/>
          <w:szCs w:val="20"/>
        </w:rPr>
        <w:t>Статья 274. Налоговая база</w:t>
      </w:r>
    </w:p>
    <w:bookmarkEnd w:id="0"/>
    <w:p w:rsidR="00267B00" w:rsidRDefault="00267B00" w:rsidP="00267B00">
      <w:pPr>
        <w:rPr>
          <w:sz w:val="24"/>
          <w:szCs w:val="24"/>
        </w:rPr>
      </w:pPr>
      <w:r>
        <w:fldChar w:fldCharType="begin"/>
      </w:r>
      <w:r>
        <w:instrText xml:space="preserve"> HYPERLINK "http://www.zakonrf.info/nk/" \o "Налоговый кодекс РФ" </w:instrText>
      </w:r>
      <w:r>
        <w:fldChar w:fldCharType="separate"/>
      </w:r>
      <w:r>
        <w:rPr>
          <w:rStyle w:val="a3"/>
          <w:b/>
          <w:bCs/>
          <w:color w:val="707070"/>
          <w:sz w:val="20"/>
          <w:szCs w:val="20"/>
          <w:u w:val="none"/>
        </w:rPr>
        <w:t>[Налоговый кодекс РФ]</w:t>
      </w:r>
      <w:r>
        <w:fldChar w:fldCharType="end"/>
      </w:r>
      <w:r>
        <w:rPr>
          <w:rStyle w:val="apple-converted-space"/>
        </w:rPr>
        <w:t> </w:t>
      </w:r>
      <w:hyperlink r:id="rId4" w:tooltip="Налог на прибыль организаций" w:history="1">
        <w:r>
          <w:rPr>
            <w:rStyle w:val="a3"/>
            <w:b/>
            <w:bCs/>
            <w:color w:val="707070"/>
            <w:sz w:val="20"/>
            <w:szCs w:val="20"/>
            <w:u w:val="none"/>
          </w:rPr>
          <w:t>[Глава 25]</w:t>
        </w:r>
      </w:hyperlink>
      <w:r>
        <w:rPr>
          <w:rStyle w:val="apple-converted-space"/>
        </w:rPr>
        <w:t> </w:t>
      </w:r>
      <w:hyperlink r:id="rId5" w:tooltip="Налоговая база" w:history="1">
        <w:r>
          <w:rPr>
            <w:rStyle w:val="a3"/>
            <w:b/>
            <w:bCs/>
            <w:color w:val="707070"/>
            <w:sz w:val="20"/>
            <w:szCs w:val="20"/>
            <w:u w:val="none"/>
          </w:rPr>
          <w:t>[Статья 274]</w:t>
        </w:r>
      </w:hyperlink>
    </w:p>
    <w:p w:rsidR="00267B00" w:rsidRDefault="00267B00" w:rsidP="00267B0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Налоговой базой для целей настоящей главы признается денежное выражение прибыли, определяемой в соответствии со статьей 247 настоящего Кодекса, подлежащей налогообложению.</w:t>
      </w:r>
    </w:p>
    <w:p w:rsidR="00267B00" w:rsidRDefault="00267B00" w:rsidP="00267B0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Налоговая база по прибыли, облагаемой по ставке, отличной от ставки, указанной в пункте 1 статьи 284 настоящего Кодекса, определяется налогоплательщиком отдельно. Налогоплательщик ведет раздельный учет доходов (расходов) по операциям, по которым в соответствии с настоящей главой предусмотрен отличный от общего порядок учета прибыли и убытка.</w:t>
      </w:r>
    </w:p>
    <w:p w:rsidR="00267B00" w:rsidRDefault="00267B00" w:rsidP="00267B0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Доходы и расходы налогоплательщика в целях настоящей главы учитываются в денежной форме.</w:t>
      </w:r>
    </w:p>
    <w:p w:rsidR="00267B00" w:rsidRDefault="00267B00" w:rsidP="00267B0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Доходы, полученные в натуральной форме в результате реализации товаров (работ, услуг), имущественных прав (включая товарообменные операции), учитываются, если иное не предусмотрено настоящим Кодексом, исходя из цены сделки с учетом положений статьи 105.3 настоящего Кодекса.</w:t>
      </w:r>
    </w:p>
    <w:p w:rsidR="00267B00" w:rsidRDefault="00267B00" w:rsidP="00267B0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Внереализационные доходы, полученные в натуральной форме, учитываются при определении налоговой базы исходя из цены сделки с учетом положений статьи 105.3 настоящего Кодекса, если иное не предусмотрено настоящей главой.</w:t>
      </w:r>
    </w:p>
    <w:p w:rsidR="00267B00" w:rsidRDefault="00267B00" w:rsidP="00267B0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 Для целей настоящей статьи рыночные цены определяются в порядке, аналогичном порядку определения рыночных цен, установленному статьей 105.3 настоящего Кодекса, на момент реализации или совершения внереализационных операций (без включения в них налога на добавленную стоимость, акциза).</w:t>
      </w:r>
    </w:p>
    <w:p w:rsidR="00267B00" w:rsidRDefault="00267B00" w:rsidP="00267B0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7. При определении налоговой базы прибыль, подлежащая налогообложению, определяется нарастающим итогом с начала налогового периода.</w:t>
      </w:r>
    </w:p>
    <w:p w:rsidR="00267B00" w:rsidRDefault="00267B00" w:rsidP="00267B0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8. В случае, если в отчетном (налоговом) периоде налогоплательщиком получен убыток - отрицательная разница между доходами, определяемыми в соответствии с настоящей главой, и расходами, учитываемыми в целях налогообложения в порядке, предусмотренном настоящей главой, в данном отчетном (налоговом) периоде налоговая база признается равной нулю.</w:t>
      </w:r>
    </w:p>
    <w:p w:rsidR="00267B00" w:rsidRDefault="00267B00" w:rsidP="00267B0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Убытки, полученные в отчетном (налоговом) периоде, принимаются в целях налогообложения в порядке и на условиях, установленных пунктом 1 статьи 278.1 и статьей 283 настоящего Кодекса.</w:t>
      </w:r>
    </w:p>
    <w:p w:rsidR="00267B00" w:rsidRDefault="00267B00" w:rsidP="00267B0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9. При исчислении налоговой базы не учитываются в составе доходов и расходов налогоплательщиков доходы и расходы, относящиеся к игорному бизнесу, подлежащему налогообложению в соответствии с главой 29 настоящего Кодекса.</w:t>
      </w:r>
    </w:p>
    <w:p w:rsidR="00267B00" w:rsidRDefault="00267B00" w:rsidP="00267B0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Налогоплательщики, являющиеся организациями игорного бизнеса, а также организации, получающие доходы от деятельности, относящейся к игорному бизнесу, обязаны вести обособленный учет доходов и расходов по такой деятельности.</w:t>
      </w:r>
    </w:p>
    <w:p w:rsidR="00267B00" w:rsidRDefault="00267B00" w:rsidP="00267B0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этом расходы организаций, занимающихся игорным бизнесом, в случае невозможности их разделения определяются пропорционально доле доходов организации от деятельности, относящейся к игорному бизнесу, в общем доходе организации по всем видам деятельности.</w:t>
      </w:r>
    </w:p>
    <w:p w:rsidR="00267B00" w:rsidRDefault="00267B00" w:rsidP="00267B0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Аналогичный порядок распространяется на организации, перешедшие на уплату налога на вмененный доход.</w:t>
      </w:r>
    </w:p>
    <w:p w:rsidR="00267B00" w:rsidRDefault="00267B00" w:rsidP="00267B0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10. Налогоплательщики, применяющие в соответствии с настоящим Кодексом специальные налоговые режимы, при исчислении налоговой базы по налогу не учитывают доходы и расходы, относящиеся к таким режимам.</w:t>
      </w:r>
    </w:p>
    <w:p w:rsidR="00267B00" w:rsidRDefault="00267B00" w:rsidP="00267B0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11. Особенности определения налоговой базы по банкам устанавливаются с учетом положений статей 290 - 292 настоящего Кодекса.</w:t>
      </w:r>
    </w:p>
    <w:p w:rsidR="00267B00" w:rsidRDefault="00267B00" w:rsidP="00267B0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12. Особенности определения налоговой базы по страховщикам устанавливаются с учетом положений статей 293 и 294 настоящего Кодекса.</w:t>
      </w:r>
    </w:p>
    <w:p w:rsidR="00267B00" w:rsidRDefault="00267B00" w:rsidP="00267B0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13. Особенности определения налоговой базы по негосударственным пенсионным фондам устанавливаются с учетом положений статей 295 и 296 настоящего Кодекса.</w:t>
      </w:r>
    </w:p>
    <w:p w:rsidR="00267B00" w:rsidRDefault="00267B00" w:rsidP="00267B0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14. Особенности определения налоговой базы по профессиональным участникам рынка ценных бумаг устанавливаются с учетом положений статей 298 и 299 настоящего Кодекса.</w:t>
      </w:r>
    </w:p>
    <w:p w:rsidR="00267B00" w:rsidRDefault="00267B00" w:rsidP="00267B0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15. Особенности определения налоговой базы по операциям с ценными бумагами устанавливаются в статье 280 с учетом положений статей 281, 282 и 304 настоящего Кодекса.</w:t>
      </w:r>
    </w:p>
    <w:p w:rsidR="00267B00" w:rsidRDefault="00267B00" w:rsidP="00267B0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16. Особенности определения налоговой базы по операциям с производными финансовыми инструментами устанавливаются с учетом положений статьи 280 и статей 301 - 305 настоящего Кодекса.</w:t>
      </w:r>
    </w:p>
    <w:p w:rsidR="00267B00" w:rsidRDefault="00267B00" w:rsidP="00267B0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17. Особенности определения налоговой базы клиринговыми организациями устанавливаются с учетом положений статей 299.1 и 299.2 настоящего Кодекса.</w:t>
      </w:r>
    </w:p>
    <w:p w:rsidR="00267B00" w:rsidRDefault="00267B00" w:rsidP="00267B0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18. Организация, получившая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(далее в настоящем пункте - участник проекта) и прекратившая использовать право на освобождение от исполнения обязанностей налогоплательщика, по основанию, предусмотренному абзацем третьим пункта 2 статьи 246.1 настоящего Кодекса, определяет нарастающим итогом совокупный размер прибыли, полученной за истекшие налоговые периоды с начала того налогового периода, в котором годовой объем выручки, полученной участником проекта, превысил один миллиард рублей.</w:t>
      </w:r>
    </w:p>
    <w:p w:rsidR="00267B00" w:rsidRDefault="00267B00" w:rsidP="00267B0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Указанный в настоящем пункте совокупный размер прибыли определяется как суммы прибыли (убытка), рассчитанные по итогам каждого предыдущего налогового периода. Для целей настоящего пункта при определении совокупного размера прибыли не учитывается прибыль (убыток), полученная по итогам налоговых периодов, предшествующих налоговому периоду, в котором годовой объем выручки, полученной участником проекта, превысил один миллиард рублей.</w:t>
      </w:r>
    </w:p>
    <w:p w:rsidR="00267B00" w:rsidRDefault="00267B00" w:rsidP="00267B0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Форма расчета совокупного размера прибыли устанавливается Министерством финансов Российской Федерации.</w:t>
      </w:r>
    </w:p>
    <w:p w:rsidR="00267B00" w:rsidRDefault="00267B00" w:rsidP="00267B0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19. Налоговая база по прибыли, полученной участниками консолидированной группы налогоплательщиков, определяется ответственным участником этой группы в порядке, установленном настоящей статьей, с учетом особенностей, установленных статьями 278.1 и 288 настоящего Кодекса.</w:t>
      </w:r>
    </w:p>
    <w:p w:rsidR="00267B00" w:rsidRDefault="00267B00" w:rsidP="00267B0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20. Особенности определения налоговой базы налогоплательщиками, указанными в пункте 1 статьи 275.2 настоящего Кодекса, при осуществлении деятельности, связанной с добычей углеводородного сырья на новом морском месторождении углеводородного сырья, устанавливаются статьей 275.2 настоящего Кодекса.</w:t>
      </w:r>
    </w:p>
    <w:p w:rsidR="00267B00" w:rsidRDefault="00267B00" w:rsidP="00267B0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21. Налоговая база, определяемая контролирующими лицами по прибыли контролируемых ими иностранных компаний, определяется с учетом особенностей, установленных статьей 309.1 настоящего Кодекса, и не подлежит уменьшению на величину расходов по прочей деятельности, а также убытков, полученных от прочей деятельности контролирующих лиц.</w:t>
      </w:r>
    </w:p>
    <w:p w:rsidR="00A25835" w:rsidRPr="00267B00" w:rsidRDefault="00A25835" w:rsidP="00267B00"/>
    <w:sectPr w:rsidR="00A25835" w:rsidRPr="00267B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19"/>
    <w:rsid w:val="0004417B"/>
    <w:rsid w:val="00251AB6"/>
    <w:rsid w:val="00267B00"/>
    <w:rsid w:val="002C1F15"/>
    <w:rsid w:val="00351569"/>
    <w:rsid w:val="0040695D"/>
    <w:rsid w:val="004E5919"/>
    <w:rsid w:val="008659E9"/>
    <w:rsid w:val="008A40A5"/>
    <w:rsid w:val="00A25835"/>
    <w:rsid w:val="00A75538"/>
    <w:rsid w:val="00AD3070"/>
    <w:rsid w:val="00D16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D9488-7190-4B88-A9B3-BEAEA3FD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069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695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0695D"/>
    <w:rPr>
      <w:color w:val="0000FF"/>
      <w:u w:val="single"/>
    </w:rPr>
  </w:style>
  <w:style w:type="character" w:customStyle="1" w:styleId="apple-converted-space">
    <w:name w:val="apple-converted-space"/>
    <w:basedOn w:val="a0"/>
    <w:rsid w:val="0040695D"/>
  </w:style>
  <w:style w:type="paragraph" w:styleId="a4">
    <w:name w:val="Normal (Web)"/>
    <w:basedOn w:val="a"/>
    <w:uiPriority w:val="99"/>
    <w:semiHidden/>
    <w:unhideWhenUsed/>
    <w:rsid w:val="004069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0743">
      <w:bodyDiv w:val="1"/>
      <w:marLeft w:val="0"/>
      <w:marRight w:val="0"/>
      <w:marTop w:val="0"/>
      <w:marBottom w:val="0"/>
      <w:divBdr>
        <w:top w:val="none" w:sz="0" w:space="0" w:color="auto"/>
        <w:left w:val="none" w:sz="0" w:space="0" w:color="auto"/>
        <w:bottom w:val="none" w:sz="0" w:space="0" w:color="auto"/>
        <w:right w:val="none" w:sz="0" w:space="0" w:color="auto"/>
      </w:divBdr>
      <w:divsChild>
        <w:div w:id="127668709">
          <w:marLeft w:val="0"/>
          <w:marRight w:val="0"/>
          <w:marTop w:val="0"/>
          <w:marBottom w:val="0"/>
          <w:divBdr>
            <w:top w:val="none" w:sz="0" w:space="0" w:color="auto"/>
            <w:left w:val="none" w:sz="0" w:space="0" w:color="auto"/>
            <w:bottom w:val="none" w:sz="0" w:space="0" w:color="auto"/>
            <w:right w:val="none" w:sz="0" w:space="0" w:color="auto"/>
          </w:divBdr>
        </w:div>
        <w:div w:id="373309358">
          <w:marLeft w:val="0"/>
          <w:marRight w:val="0"/>
          <w:marTop w:val="0"/>
          <w:marBottom w:val="0"/>
          <w:divBdr>
            <w:top w:val="none" w:sz="0" w:space="0" w:color="auto"/>
            <w:left w:val="none" w:sz="0" w:space="0" w:color="auto"/>
            <w:bottom w:val="none" w:sz="0" w:space="0" w:color="auto"/>
            <w:right w:val="none" w:sz="0" w:space="0" w:color="auto"/>
          </w:divBdr>
        </w:div>
      </w:divsChild>
    </w:div>
    <w:div w:id="110906812">
      <w:bodyDiv w:val="1"/>
      <w:marLeft w:val="0"/>
      <w:marRight w:val="0"/>
      <w:marTop w:val="0"/>
      <w:marBottom w:val="0"/>
      <w:divBdr>
        <w:top w:val="none" w:sz="0" w:space="0" w:color="auto"/>
        <w:left w:val="none" w:sz="0" w:space="0" w:color="auto"/>
        <w:bottom w:val="none" w:sz="0" w:space="0" w:color="auto"/>
        <w:right w:val="none" w:sz="0" w:space="0" w:color="auto"/>
      </w:divBdr>
      <w:divsChild>
        <w:div w:id="1251040679">
          <w:marLeft w:val="0"/>
          <w:marRight w:val="0"/>
          <w:marTop w:val="0"/>
          <w:marBottom w:val="0"/>
          <w:divBdr>
            <w:top w:val="none" w:sz="0" w:space="0" w:color="auto"/>
            <w:left w:val="none" w:sz="0" w:space="0" w:color="auto"/>
            <w:bottom w:val="none" w:sz="0" w:space="0" w:color="auto"/>
            <w:right w:val="none" w:sz="0" w:space="0" w:color="auto"/>
          </w:divBdr>
        </w:div>
        <w:div w:id="1815023984">
          <w:marLeft w:val="0"/>
          <w:marRight w:val="0"/>
          <w:marTop w:val="0"/>
          <w:marBottom w:val="0"/>
          <w:divBdr>
            <w:top w:val="none" w:sz="0" w:space="0" w:color="auto"/>
            <w:left w:val="none" w:sz="0" w:space="0" w:color="auto"/>
            <w:bottom w:val="none" w:sz="0" w:space="0" w:color="auto"/>
            <w:right w:val="none" w:sz="0" w:space="0" w:color="auto"/>
          </w:divBdr>
        </w:div>
      </w:divsChild>
    </w:div>
    <w:div w:id="227225117">
      <w:bodyDiv w:val="1"/>
      <w:marLeft w:val="0"/>
      <w:marRight w:val="0"/>
      <w:marTop w:val="0"/>
      <w:marBottom w:val="0"/>
      <w:divBdr>
        <w:top w:val="none" w:sz="0" w:space="0" w:color="auto"/>
        <w:left w:val="none" w:sz="0" w:space="0" w:color="auto"/>
        <w:bottom w:val="none" w:sz="0" w:space="0" w:color="auto"/>
        <w:right w:val="none" w:sz="0" w:space="0" w:color="auto"/>
      </w:divBdr>
      <w:divsChild>
        <w:div w:id="268389975">
          <w:marLeft w:val="0"/>
          <w:marRight w:val="0"/>
          <w:marTop w:val="0"/>
          <w:marBottom w:val="0"/>
          <w:divBdr>
            <w:top w:val="none" w:sz="0" w:space="0" w:color="auto"/>
            <w:left w:val="none" w:sz="0" w:space="0" w:color="auto"/>
            <w:bottom w:val="none" w:sz="0" w:space="0" w:color="auto"/>
            <w:right w:val="none" w:sz="0" w:space="0" w:color="auto"/>
          </w:divBdr>
        </w:div>
        <w:div w:id="1903326660">
          <w:marLeft w:val="0"/>
          <w:marRight w:val="0"/>
          <w:marTop w:val="0"/>
          <w:marBottom w:val="0"/>
          <w:divBdr>
            <w:top w:val="none" w:sz="0" w:space="0" w:color="auto"/>
            <w:left w:val="none" w:sz="0" w:space="0" w:color="auto"/>
            <w:bottom w:val="none" w:sz="0" w:space="0" w:color="auto"/>
            <w:right w:val="none" w:sz="0" w:space="0" w:color="auto"/>
          </w:divBdr>
        </w:div>
      </w:divsChild>
    </w:div>
    <w:div w:id="432626036">
      <w:bodyDiv w:val="1"/>
      <w:marLeft w:val="0"/>
      <w:marRight w:val="0"/>
      <w:marTop w:val="0"/>
      <w:marBottom w:val="0"/>
      <w:divBdr>
        <w:top w:val="none" w:sz="0" w:space="0" w:color="auto"/>
        <w:left w:val="none" w:sz="0" w:space="0" w:color="auto"/>
        <w:bottom w:val="none" w:sz="0" w:space="0" w:color="auto"/>
        <w:right w:val="none" w:sz="0" w:space="0" w:color="auto"/>
      </w:divBdr>
      <w:divsChild>
        <w:div w:id="924992054">
          <w:marLeft w:val="0"/>
          <w:marRight w:val="0"/>
          <w:marTop w:val="0"/>
          <w:marBottom w:val="0"/>
          <w:divBdr>
            <w:top w:val="none" w:sz="0" w:space="0" w:color="auto"/>
            <w:left w:val="none" w:sz="0" w:space="0" w:color="auto"/>
            <w:bottom w:val="none" w:sz="0" w:space="0" w:color="auto"/>
            <w:right w:val="none" w:sz="0" w:space="0" w:color="auto"/>
          </w:divBdr>
        </w:div>
        <w:div w:id="945697286">
          <w:marLeft w:val="0"/>
          <w:marRight w:val="0"/>
          <w:marTop w:val="0"/>
          <w:marBottom w:val="0"/>
          <w:divBdr>
            <w:top w:val="none" w:sz="0" w:space="0" w:color="auto"/>
            <w:left w:val="none" w:sz="0" w:space="0" w:color="auto"/>
            <w:bottom w:val="none" w:sz="0" w:space="0" w:color="auto"/>
            <w:right w:val="none" w:sz="0" w:space="0" w:color="auto"/>
          </w:divBdr>
        </w:div>
      </w:divsChild>
    </w:div>
    <w:div w:id="814689464">
      <w:bodyDiv w:val="1"/>
      <w:marLeft w:val="0"/>
      <w:marRight w:val="0"/>
      <w:marTop w:val="0"/>
      <w:marBottom w:val="0"/>
      <w:divBdr>
        <w:top w:val="none" w:sz="0" w:space="0" w:color="auto"/>
        <w:left w:val="none" w:sz="0" w:space="0" w:color="auto"/>
        <w:bottom w:val="none" w:sz="0" w:space="0" w:color="auto"/>
        <w:right w:val="none" w:sz="0" w:space="0" w:color="auto"/>
      </w:divBdr>
      <w:divsChild>
        <w:div w:id="1757096241">
          <w:marLeft w:val="0"/>
          <w:marRight w:val="0"/>
          <w:marTop w:val="0"/>
          <w:marBottom w:val="0"/>
          <w:divBdr>
            <w:top w:val="none" w:sz="0" w:space="0" w:color="auto"/>
            <w:left w:val="none" w:sz="0" w:space="0" w:color="auto"/>
            <w:bottom w:val="none" w:sz="0" w:space="0" w:color="auto"/>
            <w:right w:val="none" w:sz="0" w:space="0" w:color="auto"/>
          </w:divBdr>
        </w:div>
        <w:div w:id="1498686161">
          <w:marLeft w:val="0"/>
          <w:marRight w:val="0"/>
          <w:marTop w:val="0"/>
          <w:marBottom w:val="0"/>
          <w:divBdr>
            <w:top w:val="none" w:sz="0" w:space="0" w:color="auto"/>
            <w:left w:val="none" w:sz="0" w:space="0" w:color="auto"/>
            <w:bottom w:val="none" w:sz="0" w:space="0" w:color="auto"/>
            <w:right w:val="none" w:sz="0" w:space="0" w:color="auto"/>
          </w:divBdr>
        </w:div>
      </w:divsChild>
    </w:div>
    <w:div w:id="1255894457">
      <w:bodyDiv w:val="1"/>
      <w:marLeft w:val="0"/>
      <w:marRight w:val="0"/>
      <w:marTop w:val="0"/>
      <w:marBottom w:val="0"/>
      <w:divBdr>
        <w:top w:val="none" w:sz="0" w:space="0" w:color="auto"/>
        <w:left w:val="none" w:sz="0" w:space="0" w:color="auto"/>
        <w:bottom w:val="none" w:sz="0" w:space="0" w:color="auto"/>
        <w:right w:val="none" w:sz="0" w:space="0" w:color="auto"/>
      </w:divBdr>
      <w:divsChild>
        <w:div w:id="529759300">
          <w:marLeft w:val="0"/>
          <w:marRight w:val="0"/>
          <w:marTop w:val="0"/>
          <w:marBottom w:val="0"/>
          <w:divBdr>
            <w:top w:val="none" w:sz="0" w:space="0" w:color="auto"/>
            <w:left w:val="none" w:sz="0" w:space="0" w:color="auto"/>
            <w:bottom w:val="none" w:sz="0" w:space="0" w:color="auto"/>
            <w:right w:val="none" w:sz="0" w:space="0" w:color="auto"/>
          </w:divBdr>
        </w:div>
        <w:div w:id="1704593941">
          <w:marLeft w:val="0"/>
          <w:marRight w:val="0"/>
          <w:marTop w:val="0"/>
          <w:marBottom w:val="0"/>
          <w:divBdr>
            <w:top w:val="none" w:sz="0" w:space="0" w:color="auto"/>
            <w:left w:val="none" w:sz="0" w:space="0" w:color="auto"/>
            <w:bottom w:val="none" w:sz="0" w:space="0" w:color="auto"/>
            <w:right w:val="none" w:sz="0" w:space="0" w:color="auto"/>
          </w:divBdr>
        </w:div>
      </w:divsChild>
    </w:div>
    <w:div w:id="1331131760">
      <w:bodyDiv w:val="1"/>
      <w:marLeft w:val="0"/>
      <w:marRight w:val="0"/>
      <w:marTop w:val="0"/>
      <w:marBottom w:val="0"/>
      <w:divBdr>
        <w:top w:val="none" w:sz="0" w:space="0" w:color="auto"/>
        <w:left w:val="none" w:sz="0" w:space="0" w:color="auto"/>
        <w:bottom w:val="none" w:sz="0" w:space="0" w:color="auto"/>
        <w:right w:val="none" w:sz="0" w:space="0" w:color="auto"/>
      </w:divBdr>
      <w:divsChild>
        <w:div w:id="1650092887">
          <w:marLeft w:val="0"/>
          <w:marRight w:val="0"/>
          <w:marTop w:val="0"/>
          <w:marBottom w:val="0"/>
          <w:divBdr>
            <w:top w:val="none" w:sz="0" w:space="0" w:color="auto"/>
            <w:left w:val="none" w:sz="0" w:space="0" w:color="auto"/>
            <w:bottom w:val="none" w:sz="0" w:space="0" w:color="auto"/>
            <w:right w:val="none" w:sz="0" w:space="0" w:color="auto"/>
          </w:divBdr>
        </w:div>
        <w:div w:id="469174378">
          <w:marLeft w:val="0"/>
          <w:marRight w:val="0"/>
          <w:marTop w:val="0"/>
          <w:marBottom w:val="0"/>
          <w:divBdr>
            <w:top w:val="none" w:sz="0" w:space="0" w:color="auto"/>
            <w:left w:val="none" w:sz="0" w:space="0" w:color="auto"/>
            <w:bottom w:val="none" w:sz="0" w:space="0" w:color="auto"/>
            <w:right w:val="none" w:sz="0" w:space="0" w:color="auto"/>
          </w:divBdr>
        </w:div>
      </w:divsChild>
    </w:div>
    <w:div w:id="1504928224">
      <w:bodyDiv w:val="1"/>
      <w:marLeft w:val="0"/>
      <w:marRight w:val="0"/>
      <w:marTop w:val="0"/>
      <w:marBottom w:val="0"/>
      <w:divBdr>
        <w:top w:val="none" w:sz="0" w:space="0" w:color="auto"/>
        <w:left w:val="none" w:sz="0" w:space="0" w:color="auto"/>
        <w:bottom w:val="none" w:sz="0" w:space="0" w:color="auto"/>
        <w:right w:val="none" w:sz="0" w:space="0" w:color="auto"/>
      </w:divBdr>
      <w:divsChild>
        <w:div w:id="1999192564">
          <w:marLeft w:val="0"/>
          <w:marRight w:val="0"/>
          <w:marTop w:val="0"/>
          <w:marBottom w:val="0"/>
          <w:divBdr>
            <w:top w:val="none" w:sz="0" w:space="0" w:color="auto"/>
            <w:left w:val="none" w:sz="0" w:space="0" w:color="auto"/>
            <w:bottom w:val="none" w:sz="0" w:space="0" w:color="auto"/>
            <w:right w:val="none" w:sz="0" w:space="0" w:color="auto"/>
          </w:divBdr>
        </w:div>
        <w:div w:id="1354654145">
          <w:marLeft w:val="0"/>
          <w:marRight w:val="0"/>
          <w:marTop w:val="0"/>
          <w:marBottom w:val="0"/>
          <w:divBdr>
            <w:top w:val="none" w:sz="0" w:space="0" w:color="auto"/>
            <w:left w:val="none" w:sz="0" w:space="0" w:color="auto"/>
            <w:bottom w:val="none" w:sz="0" w:space="0" w:color="auto"/>
            <w:right w:val="none" w:sz="0" w:space="0" w:color="auto"/>
          </w:divBdr>
        </w:div>
      </w:divsChild>
    </w:div>
    <w:div w:id="1568300919">
      <w:bodyDiv w:val="1"/>
      <w:marLeft w:val="0"/>
      <w:marRight w:val="0"/>
      <w:marTop w:val="0"/>
      <w:marBottom w:val="0"/>
      <w:divBdr>
        <w:top w:val="none" w:sz="0" w:space="0" w:color="auto"/>
        <w:left w:val="none" w:sz="0" w:space="0" w:color="auto"/>
        <w:bottom w:val="none" w:sz="0" w:space="0" w:color="auto"/>
        <w:right w:val="none" w:sz="0" w:space="0" w:color="auto"/>
      </w:divBdr>
      <w:divsChild>
        <w:div w:id="1590312984">
          <w:marLeft w:val="0"/>
          <w:marRight w:val="0"/>
          <w:marTop w:val="0"/>
          <w:marBottom w:val="0"/>
          <w:divBdr>
            <w:top w:val="none" w:sz="0" w:space="0" w:color="auto"/>
            <w:left w:val="none" w:sz="0" w:space="0" w:color="auto"/>
            <w:bottom w:val="none" w:sz="0" w:space="0" w:color="auto"/>
            <w:right w:val="none" w:sz="0" w:space="0" w:color="auto"/>
          </w:divBdr>
        </w:div>
        <w:div w:id="21562347">
          <w:marLeft w:val="0"/>
          <w:marRight w:val="0"/>
          <w:marTop w:val="0"/>
          <w:marBottom w:val="0"/>
          <w:divBdr>
            <w:top w:val="none" w:sz="0" w:space="0" w:color="auto"/>
            <w:left w:val="none" w:sz="0" w:space="0" w:color="auto"/>
            <w:bottom w:val="none" w:sz="0" w:space="0" w:color="auto"/>
            <w:right w:val="none" w:sz="0" w:space="0" w:color="auto"/>
          </w:divBdr>
        </w:div>
      </w:divsChild>
    </w:div>
    <w:div w:id="1590039144">
      <w:bodyDiv w:val="1"/>
      <w:marLeft w:val="0"/>
      <w:marRight w:val="0"/>
      <w:marTop w:val="0"/>
      <w:marBottom w:val="0"/>
      <w:divBdr>
        <w:top w:val="none" w:sz="0" w:space="0" w:color="auto"/>
        <w:left w:val="none" w:sz="0" w:space="0" w:color="auto"/>
        <w:bottom w:val="none" w:sz="0" w:space="0" w:color="auto"/>
        <w:right w:val="none" w:sz="0" w:space="0" w:color="auto"/>
      </w:divBdr>
      <w:divsChild>
        <w:div w:id="670371711">
          <w:marLeft w:val="0"/>
          <w:marRight w:val="0"/>
          <w:marTop w:val="0"/>
          <w:marBottom w:val="0"/>
          <w:divBdr>
            <w:top w:val="none" w:sz="0" w:space="0" w:color="auto"/>
            <w:left w:val="none" w:sz="0" w:space="0" w:color="auto"/>
            <w:bottom w:val="none" w:sz="0" w:space="0" w:color="auto"/>
            <w:right w:val="none" w:sz="0" w:space="0" w:color="auto"/>
          </w:divBdr>
        </w:div>
        <w:div w:id="87819460">
          <w:marLeft w:val="0"/>
          <w:marRight w:val="0"/>
          <w:marTop w:val="0"/>
          <w:marBottom w:val="0"/>
          <w:divBdr>
            <w:top w:val="none" w:sz="0" w:space="0" w:color="auto"/>
            <w:left w:val="none" w:sz="0" w:space="0" w:color="auto"/>
            <w:bottom w:val="none" w:sz="0" w:space="0" w:color="auto"/>
            <w:right w:val="none" w:sz="0" w:space="0" w:color="auto"/>
          </w:divBdr>
        </w:div>
      </w:divsChild>
    </w:div>
    <w:div w:id="1694915937">
      <w:bodyDiv w:val="1"/>
      <w:marLeft w:val="0"/>
      <w:marRight w:val="0"/>
      <w:marTop w:val="0"/>
      <w:marBottom w:val="0"/>
      <w:divBdr>
        <w:top w:val="none" w:sz="0" w:space="0" w:color="auto"/>
        <w:left w:val="none" w:sz="0" w:space="0" w:color="auto"/>
        <w:bottom w:val="none" w:sz="0" w:space="0" w:color="auto"/>
        <w:right w:val="none" w:sz="0" w:space="0" w:color="auto"/>
      </w:divBdr>
      <w:divsChild>
        <w:div w:id="589432800">
          <w:marLeft w:val="0"/>
          <w:marRight w:val="0"/>
          <w:marTop w:val="0"/>
          <w:marBottom w:val="0"/>
          <w:divBdr>
            <w:top w:val="none" w:sz="0" w:space="0" w:color="auto"/>
            <w:left w:val="none" w:sz="0" w:space="0" w:color="auto"/>
            <w:bottom w:val="none" w:sz="0" w:space="0" w:color="auto"/>
            <w:right w:val="none" w:sz="0" w:space="0" w:color="auto"/>
          </w:divBdr>
        </w:div>
        <w:div w:id="81306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nk/274/" TargetMode="External"/><Relationship Id="rId4" Type="http://schemas.openxmlformats.org/officeDocument/2006/relationships/hyperlink" Target="http://www.zakonrf.info/nk/gl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974</Words>
  <Characters>5553</Characters>
  <Application>Microsoft Office Word</Application>
  <DocSecurity>0</DocSecurity>
  <Lines>46</Lines>
  <Paragraphs>13</Paragraphs>
  <ScaleCrop>false</ScaleCrop>
  <Company>SPecialiST RePack</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2017-04-30T14:50:00Z</dcterms:created>
  <dcterms:modified xsi:type="dcterms:W3CDTF">2017-05-05T16:35:00Z</dcterms:modified>
</cp:coreProperties>
</file>